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default" w:ascii="Times New Roman" w:hAnsi="Times New Roman" w:eastAsia="黑体" w:cs="Times New Roman"/>
        </w:rPr>
      </w:pPr>
      <w:bookmarkStart w:id="0" w:name="_GoBack"/>
      <w:bookmarkEnd w:id="0"/>
    </w:p>
    <w:p>
      <w:pPr>
        <w:spacing w:line="700" w:lineRule="exact"/>
        <w:rPr>
          <w:rFonts w:hint="default" w:ascii="Times New Roman" w:hAnsi="Times New Roman" w:eastAsia="黑体" w:cs="Times New Roman"/>
        </w:rPr>
      </w:pPr>
    </w:p>
    <w:p>
      <w:pPr>
        <w:spacing w:line="700" w:lineRule="exact"/>
        <w:rPr>
          <w:rFonts w:hint="default" w:ascii="Times New Roman" w:hAnsi="Times New Roman" w:eastAsia="黑体" w:cs="Times New Roman"/>
        </w:rPr>
      </w:pPr>
    </w:p>
    <w:p>
      <w:pPr>
        <w:spacing w:line="700" w:lineRule="exact"/>
        <w:rPr>
          <w:rFonts w:hint="default" w:ascii="Times New Roman" w:hAnsi="Times New Roman" w:eastAsia="黑体" w:cs="Times New Roman"/>
        </w:rPr>
      </w:pPr>
    </w:p>
    <w:p>
      <w:pPr>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吉林市思想政治工作研究会秘书处</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2024年</w:t>
      </w:r>
      <w:r>
        <w:rPr>
          <w:rFonts w:hint="default" w:ascii="Times New Roman" w:hAnsi="Times New Roman" w:eastAsia="方正小标宋简体" w:cs="Times New Roman"/>
          <w:sz w:val="44"/>
          <w:szCs w:val="44"/>
        </w:rPr>
        <w:t>部门预算</w:t>
      </w:r>
    </w:p>
    <w:p>
      <w:pPr>
        <w:jc w:val="left"/>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center"/>
        <w:rPr>
          <w:rFonts w:hint="default" w:ascii="Times New Roman" w:hAnsi="Times New Roman" w:eastAsia="华文细黑" w:cs="Times New Roman"/>
        </w:rPr>
      </w:pPr>
      <w:r>
        <w:rPr>
          <w:rFonts w:hint="default" w:ascii="Times New Roman" w:hAnsi="Times New Roman" w:eastAsia="华文细黑" w:cs="Times New Roman"/>
        </w:rPr>
        <w:t>二〇二</w:t>
      </w:r>
      <w:r>
        <w:rPr>
          <w:rFonts w:hint="default" w:ascii="Times New Roman" w:hAnsi="Times New Roman" w:eastAsia="华文细黑" w:cs="Times New Roman"/>
          <w:lang w:val="en-US" w:eastAsia="zh-CN"/>
        </w:rPr>
        <w:t>四</w:t>
      </w:r>
      <w:r>
        <w:rPr>
          <w:rFonts w:hint="default" w:ascii="Times New Roman" w:hAnsi="Times New Roman" w:eastAsia="华文细黑" w:cs="Times New Roman"/>
        </w:rPr>
        <w:t>年</w:t>
      </w:r>
      <w:r>
        <w:rPr>
          <w:rFonts w:hint="eastAsia" w:ascii="Times New Roman" w:hAnsi="Times New Roman" w:eastAsia="华文细黑" w:cs="Times New Roman"/>
          <w:lang w:eastAsia="zh-CN"/>
        </w:rPr>
        <w:t>三</w:t>
      </w:r>
      <w:r>
        <w:rPr>
          <w:rFonts w:hint="default" w:ascii="Times New Roman" w:hAnsi="Times New Roman" w:eastAsia="华文细黑" w:cs="Times New Roman"/>
        </w:rPr>
        <w:t>月</w:t>
      </w:r>
      <w:r>
        <w:rPr>
          <w:rFonts w:hint="eastAsia" w:ascii="Times New Roman" w:hAnsi="Times New Roman" w:eastAsia="华文细黑" w:cs="Times New Roman"/>
          <w:lang w:eastAsia="zh-CN"/>
        </w:rPr>
        <w:t>八</w:t>
      </w:r>
      <w:r>
        <w:rPr>
          <w:rFonts w:hint="default" w:ascii="Times New Roman" w:hAnsi="Times New Roman" w:eastAsia="华文细黑" w:cs="Times New Roman"/>
        </w:rPr>
        <w:t>日</w:t>
      </w:r>
    </w:p>
    <w:p>
      <w:pPr>
        <w:rPr>
          <w:rFonts w:hint="default" w:ascii="Times New Roman" w:hAnsi="Times New Roman" w:eastAsia="黑体" w:cs="Times New Roman"/>
        </w:rPr>
      </w:pPr>
    </w:p>
    <w:p>
      <w:pPr>
        <w:ind w:firstLine="640" w:firstLineChars="200"/>
        <w:rPr>
          <w:rFonts w:hint="default" w:ascii="Times New Roman" w:hAnsi="Times New Roman" w:eastAsia="黑体" w:cs="Times New Roman"/>
        </w:rPr>
      </w:pPr>
    </w:p>
    <w:p>
      <w:pPr>
        <w:rPr>
          <w:rFonts w:hint="default" w:ascii="Times New Roman" w:hAnsi="Times New Roman" w:eastAsia="黑体" w:cs="Times New Roman"/>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  录</w:t>
      </w:r>
    </w:p>
    <w:p>
      <w:pPr>
        <w:rPr>
          <w:rFonts w:hint="default" w:ascii="Times New Roman" w:hAnsi="Times New Roman" w:eastAsia="黑体" w:cs="Times New Roman"/>
        </w:rPr>
      </w:pP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p>
    <w:p>
      <w:pPr>
        <w:rPr>
          <w:rFonts w:hint="default" w:ascii="Times New Roman" w:hAnsi="Times New Roman" w:eastAsia="黑体" w:cs="Times New Roman"/>
        </w:rPr>
      </w:pPr>
      <w:r>
        <w:rPr>
          <w:rFonts w:hint="default" w:ascii="Times New Roman" w:hAnsi="Times New Roman" w:eastAsia="黑体" w:cs="Times New Roman"/>
        </w:rPr>
        <w:t>第一部分  部门概况</w:t>
      </w: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r>
        <w:rPr>
          <w:rFonts w:hint="default" w:ascii="Times New Roman" w:hAnsi="Times New Roman" w:eastAsia="黑体" w:cs="Times New Roman"/>
        </w:rPr>
        <w:tab/>
      </w:r>
    </w:p>
    <w:p>
      <w:pPr>
        <w:ind w:left="320" w:leftChars="100" w:firstLine="320" w:firstLineChars="100"/>
        <w:rPr>
          <w:rFonts w:hint="default" w:ascii="Times New Roman" w:hAnsi="Times New Roman" w:cs="Times New Roman"/>
        </w:rPr>
      </w:pPr>
      <w:r>
        <w:rPr>
          <w:rFonts w:hint="default" w:ascii="Times New Roman" w:hAnsi="Times New Roman" w:cs="Times New Roman"/>
        </w:rPr>
        <w:t>一、主要职能</w:t>
      </w:r>
    </w:p>
    <w:p>
      <w:pPr>
        <w:ind w:left="320" w:leftChars="100" w:firstLine="320" w:firstLineChars="100"/>
        <w:rPr>
          <w:rFonts w:hint="default" w:ascii="Times New Roman" w:hAnsi="Times New Roman" w:cs="Times New Roman"/>
        </w:rPr>
      </w:pPr>
      <w:r>
        <w:rPr>
          <w:rFonts w:hint="default" w:ascii="Times New Roman" w:hAnsi="Times New Roman" w:cs="Times New Roman"/>
        </w:rPr>
        <w:t>二、机构设置</w:t>
      </w:r>
    </w:p>
    <w:p>
      <w:pPr>
        <w:rPr>
          <w:rFonts w:hint="default" w:ascii="Times New Roman" w:hAnsi="Times New Roman" w:eastAsia="黑体" w:cs="Times New Roman"/>
        </w:rPr>
      </w:pPr>
      <w:r>
        <w:rPr>
          <w:rFonts w:hint="default" w:ascii="Times New Roman" w:hAnsi="Times New Roman" w:eastAsia="黑体" w:cs="Times New Roman"/>
        </w:rPr>
        <w:t>第二部分  预算表格</w:t>
      </w:r>
    </w:p>
    <w:p>
      <w:pPr>
        <w:ind w:left="320" w:leftChars="100" w:firstLine="320" w:firstLineChars="100"/>
        <w:rPr>
          <w:rFonts w:hint="default" w:ascii="Times New Roman" w:hAnsi="Times New Roman" w:cs="Times New Roman"/>
        </w:rPr>
      </w:pPr>
      <w:r>
        <w:rPr>
          <w:rFonts w:hint="default" w:ascii="Times New Roman" w:hAnsi="Times New Roman" w:cs="Times New Roman"/>
        </w:rPr>
        <w:t>一、收支总表</w:t>
      </w:r>
    </w:p>
    <w:p>
      <w:pPr>
        <w:ind w:left="320" w:leftChars="100" w:firstLine="320" w:firstLineChars="100"/>
        <w:rPr>
          <w:rFonts w:hint="default" w:ascii="Times New Roman" w:hAnsi="Times New Roman" w:cs="Times New Roman"/>
        </w:rPr>
      </w:pPr>
      <w:r>
        <w:rPr>
          <w:rFonts w:hint="default" w:ascii="Times New Roman" w:hAnsi="Times New Roman" w:cs="Times New Roman"/>
        </w:rPr>
        <w:t>二、收入总表</w:t>
      </w:r>
    </w:p>
    <w:p>
      <w:pPr>
        <w:ind w:left="320" w:leftChars="100" w:firstLine="320" w:firstLineChars="100"/>
        <w:rPr>
          <w:rFonts w:hint="default" w:ascii="Times New Roman" w:hAnsi="Times New Roman" w:cs="Times New Roman"/>
        </w:rPr>
      </w:pPr>
      <w:r>
        <w:rPr>
          <w:rFonts w:hint="default" w:ascii="Times New Roman" w:hAnsi="Times New Roman" w:cs="Times New Roman"/>
        </w:rPr>
        <w:t>三、支出总表</w:t>
      </w:r>
    </w:p>
    <w:p>
      <w:pPr>
        <w:ind w:left="320" w:leftChars="100" w:firstLine="320" w:firstLineChars="100"/>
        <w:rPr>
          <w:rFonts w:hint="default" w:ascii="Times New Roman" w:hAnsi="Times New Roman" w:cs="Times New Roman"/>
        </w:rPr>
      </w:pPr>
      <w:r>
        <w:rPr>
          <w:rFonts w:hint="default" w:ascii="Times New Roman" w:hAnsi="Times New Roman" w:cs="Times New Roman"/>
        </w:rPr>
        <w:t>四、财政拨款收支总表</w:t>
      </w:r>
    </w:p>
    <w:p>
      <w:pPr>
        <w:ind w:left="320" w:leftChars="100" w:firstLine="320" w:firstLineChars="100"/>
        <w:rPr>
          <w:rFonts w:hint="default" w:ascii="Times New Roman" w:hAnsi="Times New Roman" w:cs="Times New Roman"/>
        </w:rPr>
      </w:pPr>
      <w:r>
        <w:rPr>
          <w:rFonts w:hint="default" w:ascii="Times New Roman" w:hAnsi="Times New Roman" w:cs="Times New Roman"/>
        </w:rPr>
        <w:t>五、一般公共预算支出表</w:t>
      </w:r>
    </w:p>
    <w:p>
      <w:pPr>
        <w:ind w:left="320" w:leftChars="100" w:firstLine="320" w:firstLineChars="100"/>
        <w:rPr>
          <w:rFonts w:hint="default" w:ascii="Times New Roman" w:hAnsi="Times New Roman" w:cs="Times New Roman"/>
        </w:rPr>
      </w:pPr>
      <w:r>
        <w:rPr>
          <w:rFonts w:hint="default" w:ascii="Times New Roman" w:hAnsi="Times New Roman" w:cs="Times New Roman"/>
        </w:rPr>
        <w:t>六、一般公共预算基本支出表</w:t>
      </w:r>
    </w:p>
    <w:p>
      <w:pPr>
        <w:ind w:left="320" w:leftChars="100" w:firstLine="320" w:firstLineChars="100"/>
        <w:rPr>
          <w:rFonts w:hint="default" w:ascii="Times New Roman" w:hAnsi="Times New Roman" w:cs="Times New Roman"/>
        </w:rPr>
      </w:pPr>
      <w:r>
        <w:rPr>
          <w:rFonts w:hint="default" w:ascii="Times New Roman" w:hAnsi="Times New Roman" w:cs="Times New Roman"/>
        </w:rPr>
        <w:t>七、一般公共预算“三公”经费支出表</w:t>
      </w:r>
    </w:p>
    <w:p>
      <w:pPr>
        <w:ind w:left="320" w:leftChars="100" w:firstLine="320" w:firstLineChars="100"/>
        <w:rPr>
          <w:rFonts w:hint="default" w:ascii="Times New Roman" w:hAnsi="Times New Roman" w:cs="Times New Roman"/>
        </w:rPr>
      </w:pPr>
      <w:r>
        <w:rPr>
          <w:rFonts w:hint="default" w:ascii="Times New Roman" w:hAnsi="Times New Roman" w:cs="Times New Roman"/>
        </w:rPr>
        <w:t>八、政府性基金预算支出表</w:t>
      </w:r>
    </w:p>
    <w:p>
      <w:pPr>
        <w:ind w:left="320" w:leftChars="100" w:firstLine="320" w:firstLineChars="100"/>
        <w:rPr>
          <w:rFonts w:hint="default" w:ascii="Times New Roman" w:hAnsi="Times New Roman" w:cs="Times New Roman"/>
        </w:rPr>
      </w:pPr>
      <w:r>
        <w:rPr>
          <w:rFonts w:hint="default" w:ascii="Times New Roman" w:hAnsi="Times New Roman" w:cs="Times New Roman"/>
        </w:rPr>
        <w:t>九、国有资本经营预算支出表</w:t>
      </w:r>
    </w:p>
    <w:p>
      <w:pPr>
        <w:ind w:left="320" w:leftChars="100" w:firstLine="320" w:firstLineChars="100"/>
        <w:rPr>
          <w:rFonts w:hint="default" w:ascii="Times New Roman" w:hAnsi="Times New Roman" w:cs="Times New Roman"/>
        </w:rPr>
      </w:pPr>
      <w:r>
        <w:rPr>
          <w:rFonts w:hint="default" w:ascii="Times New Roman" w:hAnsi="Times New Roman" w:cs="Times New Roman"/>
        </w:rPr>
        <w:t>十、项目支出表</w:t>
      </w:r>
    </w:p>
    <w:p>
      <w:pPr>
        <w:ind w:left="320" w:leftChars="100" w:firstLine="320" w:firstLineChars="100"/>
        <w:rPr>
          <w:rFonts w:hint="eastAsia" w:ascii="Times New Roman" w:hAnsi="Times New Roman" w:eastAsia="仿宋_GB2312" w:cs="Times New Roman"/>
          <w:lang w:eastAsia="zh-CN"/>
        </w:rPr>
      </w:pPr>
      <w:r>
        <w:rPr>
          <w:rFonts w:hint="default" w:ascii="Times New Roman" w:hAnsi="Times New Roman" w:cs="Times New Roman"/>
        </w:rPr>
        <w:t>十一、项目支出绩效目标表</w:t>
      </w:r>
      <w:r>
        <w:rPr>
          <w:rFonts w:hint="eastAsia" w:ascii="Times New Roman" w:hAnsi="Times New Roman" w:cs="Times New Roman"/>
          <w:lang w:eastAsia="zh-CN"/>
        </w:rPr>
        <w:t>（二</w:t>
      </w:r>
      <w:r>
        <w:rPr>
          <w:rFonts w:hint="eastAsia" w:ascii="Times New Roman" w:hAnsi="Times New Roman" w:cs="Times New Roman"/>
          <w:lang w:val="en-US" w:eastAsia="zh-CN"/>
        </w:rPr>
        <w:t>级项目</w:t>
      </w:r>
      <w:r>
        <w:rPr>
          <w:rFonts w:hint="eastAsia" w:ascii="Times New Roman" w:hAnsi="Times New Roman" w:cs="Times New Roman"/>
          <w:lang w:eastAsia="zh-CN"/>
        </w:rPr>
        <w:t>）</w:t>
      </w:r>
    </w:p>
    <w:p>
      <w:pPr>
        <w:rPr>
          <w:rFonts w:hint="default" w:ascii="Times New Roman" w:hAnsi="Times New Roman" w:eastAsia="黑体" w:cs="Times New Roman"/>
        </w:rPr>
      </w:pPr>
      <w:r>
        <w:rPr>
          <w:rFonts w:hint="default" w:ascii="Times New Roman" w:hAnsi="Times New Roman" w:eastAsia="黑体" w:cs="Times New Roman"/>
        </w:rPr>
        <w:t>第三部分  情况说明</w:t>
      </w:r>
    </w:p>
    <w:p>
      <w:pPr>
        <w:rPr>
          <w:rFonts w:hint="default" w:ascii="Times New Roman" w:hAnsi="Times New Roman" w:eastAsia="黑体" w:cs="Times New Roman"/>
        </w:rPr>
      </w:pPr>
      <w:r>
        <w:rPr>
          <w:rFonts w:hint="default" w:ascii="Times New Roman" w:hAnsi="Times New Roman" w:eastAsia="黑体" w:cs="Times New Roman"/>
        </w:rPr>
        <w:t>第四部分  名词解释</w:t>
      </w:r>
    </w:p>
    <w:p>
      <w:pPr>
        <w:rPr>
          <w:rFonts w:hint="default" w:ascii="Times New Roman" w:hAnsi="Times New Roman" w:eastAsia="黑体" w:cs="Times New Roman"/>
        </w:rPr>
      </w:pPr>
      <w:r>
        <w:rPr>
          <w:rFonts w:hint="default" w:ascii="Times New Roman" w:hAnsi="Times New Roman" w:eastAsia="黑体" w:cs="Times New Roman"/>
        </w:rPr>
        <w:br w:type="page"/>
      </w:r>
    </w:p>
    <w:p>
      <w:pPr>
        <w:ind w:firstLine="640" w:firstLineChars="200"/>
        <w:jc w:val="center"/>
        <w:rPr>
          <w:rFonts w:hint="default" w:ascii="Times New Roman" w:hAnsi="Times New Roman" w:eastAsia="黑体" w:cs="Times New Roman"/>
        </w:rPr>
      </w:pPr>
      <w:r>
        <w:rPr>
          <w:rFonts w:hint="default" w:ascii="Times New Roman" w:hAnsi="Times New Roman" w:eastAsia="黑体" w:cs="Times New Roman"/>
        </w:rPr>
        <w:t>第一部分 部门概况</w:t>
      </w:r>
    </w:p>
    <w:p>
      <w:pPr>
        <w:ind w:firstLine="640" w:firstLineChars="200"/>
        <w:rPr>
          <w:rFonts w:hint="default" w:ascii="Times New Roman" w:hAnsi="Times New Roman" w:eastAsia="楷体_GB2312" w:cs="Times New Roma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rPr>
      </w:pPr>
      <w:r>
        <w:rPr>
          <w:rFonts w:hint="default" w:ascii="Times New Roman" w:hAnsi="Times New Roman" w:eastAsia="楷体_GB2312" w:cs="Times New Roman"/>
        </w:rPr>
        <w:t>一、主要职能</w:t>
      </w:r>
    </w:p>
    <w:p>
      <w:pPr>
        <w:ind w:firstLine="640" w:firstLineChars="200"/>
        <w:rPr>
          <w:rFonts w:hint="eastAsia" w:eastAsia="仿宋_GB2312"/>
          <w:sz w:val="32"/>
          <w:szCs w:val="32"/>
          <w:lang w:eastAsia="zh-CN"/>
        </w:rPr>
      </w:pPr>
      <w:r>
        <w:rPr>
          <w:rFonts w:hint="eastAsia" w:eastAsia="仿宋_GB2312"/>
          <w:sz w:val="32"/>
          <w:szCs w:val="32"/>
          <w:lang w:eastAsia="zh-CN"/>
        </w:rPr>
        <w:t>为全市思想政治工作建设提供服务，调查了解社会舆情、思想动态和思想政治工作的实际情况，组织开展思想政治工作研究、总结、推广、加强和改进思想政治工作的先进经验，评选和表彰优秀调研成果，加强思想政治工作队伍建设，组织开展思想政治工作学术交流，指导会员单位开展工作。</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cs="Times New Roman"/>
        </w:rPr>
      </w:pPr>
      <w:r>
        <w:rPr>
          <w:rFonts w:hint="default" w:ascii="Times New Roman" w:hAnsi="Times New Roman" w:eastAsia="楷体_GB2312" w:cs="Times New Roman"/>
        </w:rPr>
        <w:t>二、机构设置</w:t>
      </w:r>
    </w:p>
    <w:p>
      <w:pPr>
        <w:ind w:firstLine="640" w:firstLineChars="200"/>
        <w:jc w:val="both"/>
        <w:rPr>
          <w:rFonts w:hint="eastAsia" w:eastAsia="仿宋_GB2312"/>
          <w:sz w:val="32"/>
        </w:rPr>
      </w:pPr>
      <w:r>
        <w:rPr>
          <w:rFonts w:eastAsia="仿宋_GB2312"/>
          <w:sz w:val="32"/>
          <w:szCs w:val="32"/>
        </w:rPr>
        <w:t>根据上述职责，</w:t>
      </w:r>
      <w:r>
        <w:rPr>
          <w:rFonts w:hint="eastAsia" w:eastAsia="仿宋_GB2312"/>
          <w:sz w:val="32"/>
          <w:szCs w:val="32"/>
          <w:lang w:eastAsia="zh-CN"/>
        </w:rPr>
        <w:t>吉林市思想政治工作政研会秘书处</w:t>
      </w:r>
    </w:p>
    <w:p>
      <w:pPr>
        <w:ind w:firstLine="640" w:firstLineChars="200"/>
        <w:rPr>
          <w:rFonts w:hint="eastAsia" w:ascii="Times New Roman" w:hAnsi="Times New Roman" w:eastAsia="仿宋_GB2312" w:cs="Times New Roman"/>
          <w:lang w:eastAsia="zh-CN"/>
        </w:rPr>
        <w:sectPr>
          <w:footerReference r:id="rId3" w:type="default"/>
          <w:type w:val="evenPage"/>
          <w:pgSz w:w="11907" w:h="16840"/>
          <w:pgMar w:top="2041" w:right="1588" w:bottom="2041" w:left="1588" w:header="851" w:footer="1588" w:gutter="0"/>
          <w:pgNumType w:start="0"/>
          <w:cols w:space="720" w:num="1"/>
          <w:titlePg/>
          <w:docGrid w:type="lines" w:linePitch="574" w:charSpace="-1675"/>
        </w:sectPr>
      </w:pPr>
      <w:r>
        <w:rPr>
          <w:rFonts w:eastAsia="仿宋_GB2312"/>
          <w:sz w:val="32"/>
          <w:szCs w:val="32"/>
        </w:rPr>
        <w:t>内设</w:t>
      </w:r>
      <w:r>
        <w:rPr>
          <w:rFonts w:hint="eastAsia" w:eastAsia="仿宋_GB2312"/>
          <w:sz w:val="32"/>
          <w:szCs w:val="32"/>
          <w:lang w:val="en-US" w:eastAsia="zh-CN"/>
        </w:rPr>
        <w:t>1</w:t>
      </w:r>
      <w:r>
        <w:rPr>
          <w:rFonts w:eastAsia="仿宋_GB2312"/>
          <w:sz w:val="32"/>
          <w:szCs w:val="32"/>
        </w:rPr>
        <w:t>个机构，</w:t>
      </w:r>
      <w:r>
        <w:rPr>
          <w:rFonts w:hint="eastAsia" w:eastAsia="仿宋_GB2312"/>
          <w:sz w:val="32"/>
          <w:szCs w:val="32"/>
          <w:lang w:eastAsia="zh-CN"/>
        </w:rPr>
        <w:t>为吉林市思想政治工作政研会秘书处本级。</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center"/>
        <w:textAlignment w:val="auto"/>
        <w:outlineLvl w:val="9"/>
        <w:rPr>
          <w:rFonts w:hint="default" w:ascii="Times New Roman" w:hAnsi="Times New Roman" w:eastAsia="楷体_GB2312" w:cs="Times New Roman"/>
          <w:strike/>
        </w:rPr>
      </w:pPr>
      <w:r>
        <w:rPr>
          <w:rFonts w:hint="default" w:ascii="Times New Roman" w:hAnsi="Times New Roman" w:eastAsia="黑体" w:cs="Times New Roman"/>
        </w:rPr>
        <w:t>第二部分 预算表格</w:t>
      </w:r>
    </w:p>
    <w:p>
      <w:pPr>
        <w:numPr>
          <w:ilvl w:val="0"/>
          <w:numId w:val="1"/>
        </w:numPr>
        <w:ind w:left="320" w:leftChars="100" w:firstLine="320" w:firstLineChars="100"/>
        <w:rPr>
          <w:rFonts w:hint="default" w:ascii="Times New Roman" w:hAnsi="Times New Roman" w:cs="Times New Roman"/>
        </w:rPr>
      </w:pPr>
      <w:r>
        <w:rPr>
          <w:rFonts w:hint="default" w:ascii="Times New Roman" w:hAnsi="Times New Roman" w:cs="Times New Roman"/>
        </w:rPr>
        <w:t>收支总表</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rPr>
      </w:pPr>
      <w:r>
        <w:rPr>
          <w:rFonts w:hint="eastAsia"/>
          <w:lang w:val="en-US" w:eastAsia="zh-CN"/>
        </w:rPr>
        <w:t xml:space="preserve"> </w:t>
      </w:r>
      <w:r>
        <w:drawing>
          <wp:inline distT="0" distB="0" distL="114300" distR="114300">
            <wp:extent cx="7902575" cy="4063365"/>
            <wp:effectExtent l="0" t="0" r="3175" b="13335"/>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pic:cNvPicPr>
                      <a:picLocks noChangeAspect="1"/>
                    </pic:cNvPicPr>
                  </pic:nvPicPr>
                  <pic:blipFill>
                    <a:blip r:embed="rId5"/>
                    <a:stretch>
                      <a:fillRect/>
                    </a:stretch>
                  </pic:blipFill>
                  <pic:spPr>
                    <a:xfrm>
                      <a:off x="0" y="0"/>
                      <a:ext cx="7902575" cy="406336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楷体_GB2312" w:cs="Times New Roman"/>
          <w:szCs w:val="22"/>
        </w:rPr>
      </w:pP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收入总表</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r>
        <w:drawing>
          <wp:inline distT="0" distB="0" distL="114300" distR="114300">
            <wp:extent cx="8097520" cy="1042670"/>
            <wp:effectExtent l="0" t="0" r="17780" b="508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pic:cNvPicPr>
                  </pic:nvPicPr>
                  <pic:blipFill>
                    <a:blip r:embed="rId6"/>
                    <a:stretch>
                      <a:fillRect/>
                    </a:stretch>
                  </pic:blipFill>
                  <pic:spPr>
                    <a:xfrm>
                      <a:off x="0" y="0"/>
                      <a:ext cx="8097520" cy="104267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p>
    <w:p>
      <w:pPr>
        <w:keepNext w:val="0"/>
        <w:keepLines w:val="0"/>
        <w:pageBreakBefore w:val="0"/>
        <w:numPr>
          <w:ilvl w:val="0"/>
          <w:numId w:val="2"/>
        </w:numPr>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支出总表</w:t>
      </w:r>
    </w:p>
    <w:p>
      <w:pPr>
        <w:numPr>
          <w:ilvl w:val="0"/>
          <w:numId w:val="0"/>
        </w:numPr>
        <w:ind w:leftChars="200"/>
        <w:rPr>
          <w:rFonts w:hint="default" w:ascii="Times New Roman" w:hAnsi="Times New Roman" w:cs="Times New Roman"/>
        </w:rPr>
      </w:pPr>
      <w:r>
        <w:drawing>
          <wp:inline distT="0" distB="0" distL="114300" distR="114300">
            <wp:extent cx="8099425" cy="3380740"/>
            <wp:effectExtent l="0" t="0" r="15875" b="10160"/>
            <wp:docPr id="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pic:cNvPicPr>
                      <a:picLocks noChangeAspect="1"/>
                    </pic:cNvPicPr>
                  </pic:nvPicPr>
                  <pic:blipFill>
                    <a:blip r:embed="rId7"/>
                    <a:stretch>
                      <a:fillRect/>
                    </a:stretch>
                  </pic:blipFill>
                  <pic:spPr>
                    <a:xfrm>
                      <a:off x="0" y="0"/>
                      <a:ext cx="8099425" cy="338074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四、财政拨款收支总表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rPr>
      </w:pPr>
      <w:r>
        <w:drawing>
          <wp:inline distT="0" distB="0" distL="114300" distR="114300">
            <wp:extent cx="8037830" cy="4632325"/>
            <wp:effectExtent l="0" t="0" r="1270" b="15875"/>
            <wp:docPr id="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2"/>
                    <pic:cNvPicPr>
                      <a:picLocks noChangeAspect="1"/>
                    </pic:cNvPicPr>
                  </pic:nvPicPr>
                  <pic:blipFill>
                    <a:blip r:embed="rId8"/>
                    <a:stretch>
                      <a:fillRect/>
                    </a:stretch>
                  </pic:blipFill>
                  <pic:spPr>
                    <a:xfrm>
                      <a:off x="0" y="0"/>
                      <a:ext cx="8037830" cy="46323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五、一般公共预算支出表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sz w:val="16"/>
          <w:szCs w:val="16"/>
          <w:highlight w:val="yellow"/>
        </w:rPr>
      </w:pPr>
      <w:r>
        <w:drawing>
          <wp:inline distT="0" distB="0" distL="114300" distR="114300">
            <wp:extent cx="8105140" cy="3399790"/>
            <wp:effectExtent l="0" t="0" r="10160" b="10160"/>
            <wp:docPr id="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3"/>
                    <pic:cNvPicPr>
                      <a:picLocks noChangeAspect="1"/>
                    </pic:cNvPicPr>
                  </pic:nvPicPr>
                  <pic:blipFill>
                    <a:blip r:embed="rId9"/>
                    <a:stretch>
                      <a:fillRect/>
                    </a:stretch>
                  </pic:blipFill>
                  <pic:spPr>
                    <a:xfrm>
                      <a:off x="0" y="0"/>
                      <a:ext cx="8105140" cy="339979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Times New Roman" w:hAnsi="Times New Roman" w:eastAsia="楷体_GB2312" w:cs="Times New Roman"/>
          <w:szCs w:val="2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Times New Roman" w:hAnsi="Times New Roman" w:eastAsia="楷体_GB2312" w:cs="Times New Roman"/>
          <w:szCs w:val="2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Times New Roman" w:hAnsi="Times New Roman" w:eastAsia="楷体_GB2312" w:cs="Times New Roman"/>
          <w:szCs w:val="22"/>
          <w:lang w:val="en-US" w:eastAsia="zh-CN"/>
        </w:rPr>
      </w:pPr>
      <w:r>
        <w:rPr>
          <w:rFonts w:hint="eastAsia" w:ascii="Times New Roman" w:hAnsi="Times New Roman" w:eastAsia="楷体_GB2312" w:cs="Times New Roman"/>
          <w:szCs w:val="22"/>
          <w:lang w:val="en-US" w:eastAsia="zh-CN"/>
        </w:rPr>
        <w:t>六、</w:t>
      </w:r>
      <w:r>
        <w:rPr>
          <w:rFonts w:hint="default" w:ascii="Times New Roman" w:hAnsi="Times New Roman" w:eastAsia="楷体_GB2312" w:cs="Times New Roman"/>
          <w:szCs w:val="22"/>
        </w:rPr>
        <w:t>一般公共预算基本支出表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Times New Roman" w:hAnsi="Times New Roman" w:eastAsia="楷体_GB2312" w:cs="Times New Roman"/>
          <w:szCs w:val="2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Times New Roman" w:hAnsi="Times New Roman" w:eastAsia="楷体_GB2312" w:cs="Times New Roman"/>
          <w:szCs w:val="22"/>
          <w:lang w:val="en-US" w:eastAsia="zh-CN"/>
        </w:rPr>
      </w:pPr>
      <w:r>
        <w:drawing>
          <wp:inline distT="0" distB="0" distL="114300" distR="114300">
            <wp:extent cx="6619875" cy="3800475"/>
            <wp:effectExtent l="0" t="0" r="9525" b="9525"/>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10"/>
                    <a:stretch>
                      <a:fillRect/>
                    </a:stretch>
                  </pic:blipFill>
                  <pic:spPr>
                    <a:xfrm>
                      <a:off x="0" y="0"/>
                      <a:ext cx="6619875" cy="38004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000000"/>
          <w:kern w:val="0"/>
          <w:sz w:val="28"/>
          <w:szCs w:val="28"/>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七、一般公共预算“三公”经费支出表</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000000"/>
          <w:kern w:val="0"/>
          <w:sz w:val="28"/>
          <w:szCs w:val="28"/>
        </w:rPr>
      </w:pPr>
      <w:r>
        <w:drawing>
          <wp:inline distT="0" distB="0" distL="114300" distR="114300">
            <wp:extent cx="8100060" cy="1274445"/>
            <wp:effectExtent l="0" t="0" r="15240" b="1905"/>
            <wp:docPr id="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5"/>
                    <pic:cNvPicPr>
                      <a:picLocks noChangeAspect="1"/>
                    </pic:cNvPicPr>
                  </pic:nvPicPr>
                  <pic:blipFill>
                    <a:blip r:embed="rId11"/>
                    <a:stretch>
                      <a:fillRect/>
                    </a:stretch>
                  </pic:blipFill>
                  <pic:spPr>
                    <a:xfrm>
                      <a:off x="0" y="0"/>
                      <a:ext cx="8100060" cy="12744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说明：</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000000"/>
          <w:kern w:val="0"/>
          <w:sz w:val="28"/>
          <w:szCs w:val="28"/>
        </w:rPr>
      </w:pP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eastAsia="宋体" w:cs="Times New Roman"/>
          <w:color w:val="000000"/>
          <w:kern w:val="0"/>
          <w:sz w:val="28"/>
          <w:szCs w:val="28"/>
        </w:rPr>
        <w:t xml:space="preserve"> 1</w:t>
      </w:r>
      <w:r>
        <w:rPr>
          <w:rFonts w:hint="default" w:ascii="Times New Roman" w:hAnsi="Times New Roman" w:cs="Times New Roman"/>
          <w:color w:val="000000"/>
          <w:kern w:val="0"/>
          <w:sz w:val="28"/>
          <w:szCs w:val="28"/>
        </w:rPr>
        <w:t>、</w:t>
      </w:r>
      <w:r>
        <w:rPr>
          <w:rFonts w:hint="default" w:ascii="Times New Roman" w:hAnsi="Times New Roman" w:eastAsia="宋体" w:cs="Times New Roman"/>
          <w:color w:val="000000"/>
          <w:kern w:val="0"/>
          <w:sz w:val="28"/>
          <w:szCs w:val="28"/>
        </w:rPr>
        <w:t>“</w:t>
      </w:r>
      <w:r>
        <w:rPr>
          <w:rFonts w:hint="default" w:ascii="Times New Roman" w:hAnsi="Times New Roman" w:eastAsia="宋体" w:cs="Times New Roman"/>
          <w:color w:val="000000"/>
          <w:kern w:val="0"/>
          <w:sz w:val="28"/>
          <w:szCs w:val="28"/>
          <w:lang w:eastAsia="zh-CN"/>
        </w:rPr>
        <w:t>2024年</w:t>
      </w:r>
      <w:r>
        <w:rPr>
          <w:rFonts w:hint="default" w:ascii="Times New Roman" w:hAnsi="Times New Roman" w:cs="Times New Roman"/>
          <w:color w:val="000000"/>
          <w:kern w:val="0"/>
          <w:sz w:val="28"/>
          <w:szCs w:val="28"/>
        </w:rPr>
        <w:t>预算数</w:t>
      </w:r>
      <w:r>
        <w:rPr>
          <w:rFonts w:hint="default" w:ascii="Times New Roman" w:hAnsi="Times New Roman" w:eastAsia="宋体" w:cs="Times New Roman"/>
          <w:color w:val="000000"/>
          <w:kern w:val="0"/>
          <w:sz w:val="28"/>
          <w:szCs w:val="28"/>
        </w:rPr>
        <w:t>”</w:t>
      </w:r>
      <w:r>
        <w:rPr>
          <w:rFonts w:hint="default" w:ascii="Times New Roman" w:hAnsi="Times New Roman" w:cs="Times New Roman"/>
          <w:color w:val="000000"/>
          <w:kern w:val="0"/>
          <w:sz w:val="28"/>
          <w:szCs w:val="28"/>
        </w:rPr>
        <w:t>的单位范围包括</w:t>
      </w:r>
      <w:r>
        <w:rPr>
          <w:rFonts w:hint="eastAsia" w:ascii="Times New Roman" w:hAnsi="Times New Roman" w:cs="Times New Roman"/>
          <w:color w:val="000000"/>
          <w:kern w:val="0"/>
          <w:sz w:val="28"/>
          <w:szCs w:val="28"/>
          <w:lang w:val="en-US" w:eastAsia="zh-CN"/>
        </w:rPr>
        <w:t>1</w:t>
      </w:r>
      <w:r>
        <w:rPr>
          <w:rFonts w:hint="default" w:ascii="Times New Roman" w:hAnsi="Times New Roman" w:cs="Times New Roman"/>
          <w:color w:val="000000"/>
          <w:kern w:val="0"/>
          <w:sz w:val="28"/>
          <w:szCs w:val="28"/>
        </w:rPr>
        <w:t>个预算单位。</w:t>
      </w:r>
      <w:r>
        <w:rPr>
          <w:rFonts w:hint="default" w:ascii="Times New Roman" w:hAnsi="Times New Roman" w:eastAsia="宋体" w:cs="Times New Roman"/>
          <w:color w:val="000000"/>
          <w:kern w:val="0"/>
          <w:sz w:val="28"/>
          <w:szCs w:val="28"/>
        </w:rPr>
        <w:t xml:space="preserve">   </w:t>
      </w:r>
      <w:r>
        <w:rPr>
          <w:rFonts w:hint="default" w:ascii="Times New Roman" w:hAnsi="Times New Roman" w:eastAsia="宋体" w:cs="Times New Roman"/>
          <w:color w:val="000000"/>
          <w:kern w:val="0"/>
          <w:sz w:val="28"/>
          <w:szCs w:val="28"/>
        </w:rPr>
        <w:br w:type="textWrapping"/>
      </w:r>
      <w:r>
        <w:rPr>
          <w:rFonts w:hint="default" w:ascii="Times New Roman" w:hAnsi="Times New Roman" w:eastAsia="宋体" w:cs="Times New Roman"/>
          <w:color w:val="000000"/>
          <w:kern w:val="0"/>
          <w:sz w:val="28"/>
          <w:szCs w:val="28"/>
        </w:rPr>
        <w:t xml:space="preserve">     2</w:t>
      </w:r>
      <w:r>
        <w:rPr>
          <w:rFonts w:hint="default" w:ascii="Times New Roman" w:hAnsi="Times New Roman" w:cs="Times New Roman"/>
          <w:color w:val="000000"/>
          <w:kern w:val="0"/>
          <w:sz w:val="28"/>
          <w:szCs w:val="28"/>
        </w:rPr>
        <w:t>、</w:t>
      </w:r>
      <w:r>
        <w:rPr>
          <w:rFonts w:hint="default" w:ascii="Times New Roman" w:hAnsi="Times New Roman" w:eastAsia="宋体" w:cs="Times New Roman"/>
          <w:color w:val="000000"/>
          <w:kern w:val="0"/>
          <w:sz w:val="28"/>
          <w:szCs w:val="28"/>
        </w:rPr>
        <w:t>“</w:t>
      </w:r>
      <w:r>
        <w:rPr>
          <w:rFonts w:hint="default" w:ascii="Times New Roman" w:hAnsi="Times New Roman" w:eastAsia="宋体" w:cs="Times New Roman"/>
          <w:color w:val="000000"/>
          <w:kern w:val="0"/>
          <w:sz w:val="28"/>
          <w:szCs w:val="28"/>
          <w:lang w:eastAsia="zh-CN"/>
        </w:rPr>
        <w:t>2024年</w:t>
      </w:r>
      <w:r>
        <w:rPr>
          <w:rFonts w:hint="default" w:ascii="Times New Roman" w:hAnsi="Times New Roman" w:cs="Times New Roman"/>
          <w:color w:val="000000"/>
          <w:kern w:val="0"/>
          <w:sz w:val="28"/>
          <w:szCs w:val="28"/>
        </w:rPr>
        <w:t>预算数</w:t>
      </w:r>
      <w:r>
        <w:rPr>
          <w:rFonts w:hint="default" w:ascii="Times New Roman" w:hAnsi="Times New Roman" w:eastAsia="宋体" w:cs="Times New Roman"/>
          <w:color w:val="000000"/>
          <w:kern w:val="0"/>
          <w:sz w:val="28"/>
          <w:szCs w:val="28"/>
        </w:rPr>
        <w:t>”</w:t>
      </w:r>
      <w:r>
        <w:rPr>
          <w:rFonts w:hint="default" w:ascii="Times New Roman" w:hAnsi="Times New Roman" w:cs="Times New Roman"/>
          <w:color w:val="000000"/>
          <w:kern w:val="0"/>
          <w:sz w:val="28"/>
          <w:szCs w:val="28"/>
        </w:rPr>
        <w:t>的实有人员</w:t>
      </w:r>
      <w:r>
        <w:rPr>
          <w:rFonts w:hint="eastAsia" w:ascii="Times New Roman" w:hAnsi="Times New Roman" w:cs="Times New Roman"/>
          <w:color w:val="000000"/>
          <w:kern w:val="0"/>
          <w:sz w:val="28"/>
          <w:szCs w:val="28"/>
          <w:lang w:val="en-US" w:eastAsia="zh-CN"/>
        </w:rPr>
        <w:t>3</w:t>
      </w:r>
      <w:r>
        <w:rPr>
          <w:rFonts w:hint="default" w:ascii="Times New Roman" w:hAnsi="Times New Roman" w:cs="Times New Roman"/>
          <w:color w:val="000000"/>
          <w:kern w:val="0"/>
          <w:sz w:val="28"/>
          <w:szCs w:val="28"/>
        </w:rPr>
        <w:t>人，其中：在职人员</w:t>
      </w:r>
      <w:r>
        <w:rPr>
          <w:rFonts w:hint="eastAsia" w:ascii="Times New Roman" w:hAnsi="Times New Roman" w:cs="Times New Roman"/>
          <w:color w:val="000000"/>
          <w:kern w:val="0"/>
          <w:sz w:val="28"/>
          <w:szCs w:val="28"/>
          <w:lang w:val="en-US" w:eastAsia="zh-CN"/>
        </w:rPr>
        <w:t>3</w:t>
      </w:r>
      <w:r>
        <w:rPr>
          <w:rFonts w:hint="default" w:ascii="Times New Roman" w:hAnsi="Times New Roman" w:cs="Times New Roman"/>
          <w:color w:val="000000"/>
          <w:kern w:val="0"/>
          <w:sz w:val="28"/>
          <w:szCs w:val="28"/>
        </w:rPr>
        <w:t>人，离退休人员</w:t>
      </w:r>
      <w:r>
        <w:rPr>
          <w:rFonts w:hint="default" w:ascii="Times New Roman" w:hAnsi="Times New Roman" w:cs="Times New Roman"/>
          <w:color w:val="000000"/>
          <w:kern w:val="0"/>
          <w:sz w:val="28"/>
          <w:szCs w:val="28"/>
          <w:lang w:eastAsia="zh-CN"/>
        </w:rPr>
        <w:t>（</w:t>
      </w:r>
      <w:r>
        <w:rPr>
          <w:rFonts w:hint="default" w:ascii="Times New Roman" w:hAnsi="Times New Roman" w:cs="Times New Roman"/>
          <w:color w:val="000000"/>
          <w:kern w:val="0"/>
          <w:sz w:val="28"/>
          <w:szCs w:val="28"/>
          <w:lang w:val="en-US" w:eastAsia="zh-CN"/>
        </w:rPr>
        <w:t>不含社保局开支人员</w:t>
      </w:r>
      <w:r>
        <w:rPr>
          <w:rFonts w:hint="eastAsia" w:ascii="Times New Roman" w:hAnsi="Times New Roman" w:cs="Times New Roman"/>
          <w:color w:val="000000"/>
          <w:kern w:val="0"/>
          <w:sz w:val="28"/>
          <w:szCs w:val="28"/>
          <w:lang w:val="en-US" w:eastAsia="zh-CN"/>
        </w:rPr>
        <w:t>）0</w:t>
      </w:r>
      <w:r>
        <w:rPr>
          <w:rFonts w:hint="default" w:ascii="Times New Roman" w:hAnsi="Times New Roman" w:cs="Times New Roman"/>
          <w:color w:val="000000"/>
          <w:kern w:val="0"/>
          <w:sz w:val="28"/>
          <w:szCs w:val="28"/>
        </w:rPr>
        <w:t>人。</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仿宋_GB2312" w:cs="Times New Roman"/>
          <w:color w:val="000000"/>
          <w:kern w:val="0"/>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八、政府性基金预算支出表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r>
        <w:drawing>
          <wp:inline distT="0" distB="0" distL="114300" distR="114300">
            <wp:extent cx="7772400" cy="1990725"/>
            <wp:effectExtent l="0" t="0" r="0" b="9525"/>
            <wp:docPr id="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6"/>
                    <pic:cNvPicPr>
                      <a:picLocks noChangeAspect="1"/>
                    </pic:cNvPicPr>
                  </pic:nvPicPr>
                  <pic:blipFill>
                    <a:blip r:embed="rId12"/>
                    <a:stretch>
                      <a:fillRect/>
                    </a:stretch>
                  </pic:blipFill>
                  <pic:spPr>
                    <a:xfrm>
                      <a:off x="0" y="0"/>
                      <a:ext cx="7772400" cy="19907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楷体" w:cs="Times New Roman"/>
          <w:kern w:val="0"/>
          <w:szCs w:val="32"/>
          <w:highlight w:val="yellow"/>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pPr>
      <w:r>
        <w:rPr>
          <w:rFonts w:hint="default" w:ascii="Times New Roman" w:hAnsi="Times New Roman" w:eastAsia="楷体_GB2312" w:cs="Times New Roman"/>
          <w:szCs w:val="22"/>
        </w:rPr>
        <w:t>九、国有资本经营预算支出表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r>
        <w:drawing>
          <wp:inline distT="0" distB="0" distL="114300" distR="114300">
            <wp:extent cx="8098155" cy="2001520"/>
            <wp:effectExtent l="0" t="0" r="17145" b="17780"/>
            <wp:docPr id="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7"/>
                    <pic:cNvPicPr>
                      <a:picLocks noChangeAspect="1"/>
                    </pic:cNvPicPr>
                  </pic:nvPicPr>
                  <pic:blipFill>
                    <a:blip r:embed="rId13"/>
                    <a:stretch>
                      <a:fillRect/>
                    </a:stretch>
                  </pic:blipFill>
                  <pic:spPr>
                    <a:xfrm>
                      <a:off x="0" y="0"/>
                      <a:ext cx="8098155" cy="200152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楷体_GB2312" w:cs="Times New Roman"/>
          <w:szCs w:val="22"/>
        </w:rPr>
      </w:pPr>
      <w:r>
        <w:rPr>
          <w:rFonts w:hint="default" w:ascii="Times New Roman" w:hAnsi="Times New Roman" w:eastAsia="楷体_GB2312" w:cs="Times New Roman"/>
          <w:szCs w:val="22"/>
        </w:rPr>
        <w:t>十、项目支出表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rPr>
      </w:pPr>
      <w:r>
        <w:drawing>
          <wp:inline distT="0" distB="0" distL="114300" distR="114300">
            <wp:extent cx="8100695" cy="1476375"/>
            <wp:effectExtent l="0" t="0" r="14605" b="9525"/>
            <wp:docPr id="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8"/>
                    <pic:cNvPicPr>
                      <a:picLocks noChangeAspect="1"/>
                    </pic:cNvPicPr>
                  </pic:nvPicPr>
                  <pic:blipFill>
                    <a:blip r:embed="rId14"/>
                    <a:stretch>
                      <a:fillRect/>
                    </a:stretch>
                  </pic:blipFill>
                  <pic:spPr>
                    <a:xfrm>
                      <a:off x="0" y="0"/>
                      <a:ext cx="8100695" cy="1476375"/>
                    </a:xfrm>
                    <a:prstGeom prst="rect">
                      <a:avLst/>
                    </a:prstGeom>
                    <a:noFill/>
                    <a:ln>
                      <a:noFill/>
                    </a:ln>
                  </pic:spPr>
                </pic:pic>
              </a:graphicData>
            </a:graphic>
          </wp:inline>
        </w:drawing>
      </w:r>
    </w:p>
    <w:p>
      <w:pPr>
        <w:ind w:firstLine="640" w:firstLineChars="200"/>
        <w:rPr>
          <w:rFonts w:hint="default" w:ascii="Times New Roman" w:hAnsi="Times New Roman" w:eastAsia="楷体_GB2312" w:cs="Times New Roman"/>
          <w:szCs w:val="22"/>
        </w:rPr>
      </w:pPr>
    </w:p>
    <w:p>
      <w:pPr>
        <w:ind w:firstLine="640" w:firstLineChars="200"/>
        <w:rPr>
          <w:rFonts w:hint="default" w:ascii="Times New Roman" w:hAnsi="Times New Roman" w:eastAsia="楷体_GB2312" w:cs="Times New Roman"/>
          <w:szCs w:val="22"/>
        </w:rPr>
      </w:pPr>
      <w:r>
        <w:rPr>
          <w:rFonts w:hint="default" w:ascii="Times New Roman" w:hAnsi="Times New Roman" w:eastAsia="楷体_GB2312" w:cs="Times New Roman"/>
          <w:szCs w:val="22"/>
        </w:rPr>
        <w:t>十一、项目支出绩效目标表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1"/>
        <w:gridCol w:w="1355"/>
        <w:gridCol w:w="1354"/>
        <w:gridCol w:w="1966"/>
        <w:gridCol w:w="1112"/>
        <w:gridCol w:w="1061"/>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9553" w:type="dxa"/>
            <w:gridSpan w:val="7"/>
            <w:vMerge w:val="restart"/>
            <w:noWrap w:val="0"/>
            <w:vAlign w:val="center"/>
          </w:tcPr>
          <w:p>
            <w:pPr>
              <w:keepNext w:val="0"/>
              <w:keepLines w:val="0"/>
              <w:widowControl/>
              <w:suppressLineNumbers w:val="0"/>
              <w:jc w:val="center"/>
              <w:textAlignment w:val="center"/>
              <w:rPr>
                <w:rFonts w:ascii="黑体" w:hAnsi="宋体" w:eastAsia="黑体" w:cs="黑体"/>
                <w:b/>
                <w:i w:val="0"/>
                <w:color w:val="000000"/>
                <w:sz w:val="32"/>
                <w:szCs w:val="32"/>
                <w:highlight w:val="none"/>
                <w:u w:val="none"/>
              </w:rPr>
            </w:pPr>
            <w:r>
              <w:rPr>
                <w:rFonts w:hint="eastAsia" w:ascii="黑体" w:hAnsi="宋体" w:eastAsia="黑体" w:cs="黑体"/>
                <w:b/>
                <w:i w:val="0"/>
                <w:color w:val="000000"/>
                <w:kern w:val="0"/>
                <w:sz w:val="32"/>
                <w:szCs w:val="32"/>
                <w:highlight w:val="none"/>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553" w:type="dxa"/>
            <w:gridSpan w:val="7"/>
            <w:vMerge w:val="continue"/>
            <w:noWrap w:val="0"/>
            <w:vAlign w:val="center"/>
          </w:tcPr>
          <w:p>
            <w:pPr>
              <w:jc w:val="center"/>
              <w:rPr>
                <w:rFonts w:hint="eastAsia" w:ascii="黑体" w:hAnsi="宋体" w:eastAsia="黑体" w:cs="黑体"/>
                <w:b/>
                <w:i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项目名称</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项目级次</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lang w:val="en-US" w:eastAsia="zh-CN"/>
              </w:rPr>
            </w:pPr>
            <w:r>
              <w:rPr>
                <w:rFonts w:hint="eastAsia" w:ascii="华文细黑" w:hAnsi="华文细黑" w:eastAsia="华文细黑" w:cs="华文细黑"/>
                <w:i w:val="0"/>
                <w:color w:val="000000"/>
                <w:sz w:val="16"/>
                <w:szCs w:val="16"/>
                <w:highlight w:val="none"/>
                <w:u w:val="none"/>
                <w:lang w:val="en-US" w:eastAsia="zh-CN"/>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主管部门及编码</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项目资金(万元）</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年度资金总额</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其中：财政拨款</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 xml:space="preserve">      其他资金</w:t>
            </w:r>
          </w:p>
        </w:tc>
        <w:tc>
          <w:tcPr>
            <w:tcW w:w="610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阶段性绩效目标</w:t>
            </w:r>
          </w:p>
        </w:tc>
        <w:tc>
          <w:tcPr>
            <w:tcW w:w="88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年度绩效</w:t>
            </w:r>
            <w:r>
              <w:rPr>
                <w:rFonts w:hint="eastAsia" w:ascii="华文细黑" w:hAnsi="华文细黑" w:eastAsia="华文细黑" w:cs="华文细黑"/>
                <w:i w:val="0"/>
                <w:color w:val="000000"/>
                <w:kern w:val="0"/>
                <w:sz w:val="16"/>
                <w:szCs w:val="16"/>
                <w:highlight w:val="none"/>
                <w:u w:val="none"/>
                <w:lang w:val="en-US" w:eastAsia="zh-CN" w:bidi="ar"/>
              </w:rPr>
              <w:br w:type="textWrapping"/>
            </w:r>
            <w:r>
              <w:rPr>
                <w:rFonts w:hint="eastAsia" w:ascii="华文细黑" w:hAnsi="华文细黑" w:eastAsia="华文细黑" w:cs="华文细黑"/>
                <w:i w:val="0"/>
                <w:color w:val="000000"/>
                <w:kern w:val="0"/>
                <w:sz w:val="16"/>
                <w:szCs w:val="16"/>
                <w:highlight w:val="none"/>
                <w:u w:val="none"/>
                <w:lang w:val="en-US" w:eastAsia="zh-CN" w:bidi="ar"/>
              </w:rPr>
              <w:t>目标</w:t>
            </w:r>
          </w:p>
        </w:tc>
        <w:tc>
          <w:tcPr>
            <w:tcW w:w="88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绩效指标</w:t>
            </w:r>
          </w:p>
        </w:tc>
        <w:tc>
          <w:tcPr>
            <w:tcW w:w="1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一级指标</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二级指标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三级指标</w:t>
            </w: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阶段性指标值</w:t>
            </w: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指标值</w:t>
            </w: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成本指标</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经济成本指标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社会成本指标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生态环境成本指标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产出指标</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数量指标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质量指标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时效指标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效果指标</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经济效益指标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社会效益指标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生态效益指标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满意度指标</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highlight w:val="none"/>
                <w:u w:val="none"/>
              </w:rPr>
            </w:pPr>
            <w:r>
              <w:rPr>
                <w:rFonts w:hint="eastAsia" w:ascii="华文细黑" w:hAnsi="华文细黑" w:eastAsia="华文细黑" w:cs="华文细黑"/>
                <w:i w:val="0"/>
                <w:color w:val="000000"/>
                <w:kern w:val="0"/>
                <w:sz w:val="16"/>
                <w:szCs w:val="16"/>
                <w:highlight w:val="none"/>
                <w:u w:val="none"/>
                <w:lang w:val="en-US" w:eastAsia="zh-CN" w:bidi="ar"/>
              </w:rPr>
              <w:t>服务对象</w:t>
            </w:r>
            <w:r>
              <w:rPr>
                <w:rFonts w:hint="eastAsia" w:ascii="华文细黑" w:hAnsi="华文细黑" w:eastAsia="华文细黑" w:cs="华文细黑"/>
                <w:i w:val="0"/>
                <w:color w:val="000000"/>
                <w:kern w:val="0"/>
                <w:sz w:val="16"/>
                <w:szCs w:val="16"/>
                <w:highlight w:val="none"/>
                <w:u w:val="none"/>
                <w:lang w:val="en-US" w:eastAsia="zh-CN" w:bidi="ar"/>
              </w:rPr>
              <w:br w:type="textWrapping"/>
            </w:r>
            <w:r>
              <w:rPr>
                <w:rFonts w:hint="eastAsia" w:ascii="华文细黑" w:hAnsi="华文细黑" w:eastAsia="华文细黑" w:cs="华文细黑"/>
                <w:i w:val="0"/>
                <w:color w:val="000000"/>
                <w:kern w:val="0"/>
                <w:sz w:val="16"/>
                <w:szCs w:val="16"/>
                <w:highlight w:val="none"/>
                <w:u w:val="none"/>
                <w:lang w:val="en-US" w:eastAsia="zh-CN" w:bidi="ar"/>
              </w:rPr>
              <w:t>满意度指标</w:t>
            </w:r>
          </w:p>
        </w:tc>
        <w:tc>
          <w:tcPr>
            <w:tcW w:w="19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华文细黑" w:hAnsi="华文细黑" w:eastAsia="华文细黑" w:cs="华文细黑"/>
                <w:i w:val="0"/>
                <w:color w:val="000000"/>
                <w:sz w:val="16"/>
                <w:szCs w:val="16"/>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华文细黑" w:hAnsi="华文细黑" w:eastAsia="华文细黑" w:cs="华文细黑"/>
                <w:i w:val="0"/>
                <w:color w:val="000000"/>
                <w:sz w:val="16"/>
                <w:szCs w:val="16"/>
                <w:highlight w:val="none"/>
                <w:u w:val="none"/>
              </w:rPr>
            </w:pPr>
          </w:p>
        </w:tc>
      </w:tr>
    </w:tbl>
    <w:p>
      <w:pPr>
        <w:spacing w:line="700" w:lineRule="exact"/>
        <w:rPr>
          <w:rFonts w:hint="default" w:ascii="Times New Roman" w:hAnsi="Times New Roman" w:eastAsia="楷体" w:cs="Times New Roman"/>
          <w:kern w:val="0"/>
          <w:szCs w:val="32"/>
        </w:rPr>
      </w:pPr>
    </w:p>
    <w:p>
      <w:pPr>
        <w:spacing w:line="700" w:lineRule="exact"/>
        <w:rPr>
          <w:rFonts w:hint="default" w:ascii="Times New Roman" w:hAnsi="Times New Roman" w:eastAsia="楷体" w:cs="Times New Roman"/>
          <w:kern w:val="0"/>
          <w:szCs w:val="32"/>
        </w:rPr>
      </w:pPr>
    </w:p>
    <w:p>
      <w:pPr>
        <w:spacing w:line="700" w:lineRule="exact"/>
        <w:rPr>
          <w:rFonts w:hint="default" w:ascii="Times New Roman" w:hAnsi="Times New Roman" w:eastAsia="楷体" w:cs="Times New Roman"/>
          <w:kern w:val="0"/>
          <w:szCs w:val="32"/>
        </w:rPr>
      </w:pPr>
    </w:p>
    <w:p>
      <w:pPr>
        <w:spacing w:line="700" w:lineRule="exact"/>
        <w:rPr>
          <w:rFonts w:hint="default" w:ascii="Times New Roman" w:hAnsi="Times New Roman" w:eastAsia="楷体" w:cs="Times New Roman"/>
          <w:kern w:val="0"/>
          <w:szCs w:val="32"/>
        </w:rPr>
        <w:sectPr>
          <w:pgSz w:w="16840" w:h="11907" w:orient="landscape"/>
          <w:pgMar w:top="1588" w:right="2041" w:bottom="1588" w:left="2041" w:header="851" w:footer="1588" w:gutter="0"/>
          <w:pgNumType w:start="0"/>
          <w:cols w:space="720" w:num="1"/>
          <w:titlePg/>
          <w:docGrid w:type="lines" w:linePitch="574" w:charSpace="-1675"/>
        </w:sectPr>
      </w:pPr>
    </w:p>
    <w:p>
      <w:pPr>
        <w:spacing w:line="700" w:lineRule="exact"/>
        <w:rPr>
          <w:rFonts w:hint="default" w:ascii="Times New Roman" w:hAnsi="Times New Roman" w:eastAsia="楷体" w:cs="Times New Roman"/>
          <w:kern w:val="0"/>
          <w:szCs w:val="32"/>
        </w:rPr>
      </w:pPr>
    </w:p>
    <w:p>
      <w:pPr>
        <w:ind w:firstLine="640" w:firstLineChars="200"/>
        <w:jc w:val="center"/>
        <w:rPr>
          <w:rFonts w:hint="default" w:ascii="Times New Roman" w:hAnsi="Times New Roman" w:eastAsia="黑体" w:cs="Times New Roman"/>
        </w:rPr>
      </w:pPr>
      <w:r>
        <w:rPr>
          <w:rFonts w:hint="default" w:ascii="Times New Roman" w:hAnsi="Times New Roman" w:eastAsia="黑体" w:cs="Times New Roman"/>
        </w:rPr>
        <w:t>第三部分 情况说明</w:t>
      </w:r>
    </w:p>
    <w:p>
      <w:pPr>
        <w:rPr>
          <w:rFonts w:hint="default" w:ascii="Times New Roman" w:hAnsi="Times New Roman" w:eastAsia="仿宋" w:cs="Times New Roman"/>
          <w:szCs w:val="32"/>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收支预算总体情况</w:t>
      </w:r>
    </w:p>
    <w:p>
      <w:pPr>
        <w:ind w:firstLine="640" w:firstLineChars="200"/>
        <w:rPr>
          <w:rFonts w:hint="default" w:ascii="Times New Roman" w:hAnsi="Times New Roman" w:eastAsia="楷体" w:cs="Times New Roman"/>
          <w:szCs w:val="30"/>
        </w:rPr>
      </w:pPr>
      <w:r>
        <w:rPr>
          <w:rFonts w:hint="default" w:ascii="Times New Roman" w:hAnsi="Times New Roman" w:cs="Times New Roman"/>
          <w:szCs w:val="32"/>
        </w:rPr>
        <w:t>按照综合预算的原则，所有收入和支出全部纳入部门预算管理。收入包括：一般公共预算拨款收入、政府性基金预算拨款收入、国有资本经营预算拨款收入、财政专户管理资金收入、事业收入、上级补助收入、附属单位上缴收入、事业单位经营收入、其他收入、用事业基金弥补收支差额、上年结转结余等；支出包括：一般公共服务支出、教育支出、科学技术支出、文化旅游体育与传媒支出、社会保障和就业支出、农林水支出、住房保障支出、结转下年支出等。</w:t>
      </w:r>
      <w:r>
        <w:rPr>
          <w:rFonts w:hint="default" w:ascii="Times New Roman" w:hAnsi="Times New Roman" w:cs="Times New Roman"/>
          <w:szCs w:val="32"/>
          <w:lang w:eastAsia="zh-CN"/>
        </w:rPr>
        <w:t>2024年</w:t>
      </w:r>
      <w:r>
        <w:rPr>
          <w:rFonts w:hint="default" w:ascii="Times New Roman" w:hAnsi="Times New Roman" w:cs="Times New Roman"/>
          <w:szCs w:val="32"/>
        </w:rPr>
        <w:t>收支总预算</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28.7</w:t>
      </w:r>
      <w:r>
        <w:rPr>
          <w:rFonts w:hint="default" w:ascii="Times New Roman" w:hAnsi="Times New Roman" w:cs="Times New Roman"/>
          <w:szCs w:val="32"/>
        </w:rPr>
        <w:t>万元；上年结转</w:t>
      </w:r>
      <w:r>
        <w:rPr>
          <w:rFonts w:hint="eastAsia" w:ascii="Times New Roman" w:hAnsi="Times New Roman" w:cs="Times New Roman"/>
          <w:szCs w:val="32"/>
          <w:lang w:val="en-US" w:eastAsia="zh-CN"/>
        </w:rPr>
        <w:t>6.43</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当年预算比</w:t>
      </w:r>
      <w:r>
        <w:rPr>
          <w:rFonts w:hint="default" w:ascii="Times New Roman" w:hAnsi="Times New Roman" w:cs="Times New Roman"/>
          <w:szCs w:val="32"/>
          <w:lang w:eastAsia="zh-CN"/>
        </w:rPr>
        <w:t>2023年</w:t>
      </w:r>
      <w:r>
        <w:rPr>
          <w:rFonts w:hint="default" w:ascii="Times New Roman" w:hAnsi="Times New Roman" w:cs="Times New Roman"/>
          <w:szCs w:val="32"/>
        </w:rPr>
        <w:t>预算</w:t>
      </w:r>
      <w:r>
        <w:rPr>
          <w:rFonts w:hint="eastAsia" w:ascii="Times New Roman" w:hAnsi="Times New Roman" w:cs="Times New Roman"/>
          <w:szCs w:val="32"/>
          <w:lang w:eastAsia="zh-CN"/>
        </w:rPr>
        <w:t>增加</w:t>
      </w:r>
      <w:r>
        <w:rPr>
          <w:rFonts w:hint="eastAsia" w:ascii="Times New Roman" w:hAnsi="Times New Roman" w:cs="Times New Roman"/>
          <w:szCs w:val="32"/>
          <w:highlight w:val="none"/>
          <w:lang w:val="en-US" w:eastAsia="zh-CN"/>
        </w:rPr>
        <w:t>4.34</w:t>
      </w:r>
      <w:r>
        <w:rPr>
          <w:rFonts w:hint="default" w:ascii="Times New Roman" w:hAnsi="Times New Roman" w:cs="Times New Roman"/>
          <w:szCs w:val="32"/>
        </w:rPr>
        <w:t>万元，主要原因是</w:t>
      </w:r>
      <w:r>
        <w:rPr>
          <w:rFonts w:hint="eastAsia" w:ascii="Times New Roman" w:hAnsi="Times New Roman" w:cs="Times New Roman"/>
          <w:szCs w:val="32"/>
          <w:lang w:val="en-US" w:eastAsia="zh-CN"/>
        </w:rPr>
        <w:t>2024年预算中包含上年结转数</w:t>
      </w:r>
      <w:r>
        <w:rPr>
          <w:rFonts w:hint="default" w:ascii="Times New Roman" w:hAnsi="Times New Roman" w:cs="Times New Roman"/>
          <w:szCs w:val="32"/>
        </w:rPr>
        <w:t>。</w:t>
      </w:r>
    </w:p>
    <w:p>
      <w:pPr>
        <w:ind w:firstLine="640" w:firstLineChars="200"/>
        <w:rPr>
          <w:rFonts w:hint="default" w:ascii="Times New Roman" w:hAnsi="Times New Roman" w:eastAsia="黑体" w:cs="Times New Roman"/>
          <w:szCs w:val="32"/>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二、</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收入预算情况</w:t>
      </w:r>
    </w:p>
    <w:p>
      <w:pPr>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收入预算</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万元，其中：本年收入</w:t>
      </w:r>
      <w:r>
        <w:rPr>
          <w:rFonts w:hint="eastAsia" w:ascii="Times New Roman" w:hAnsi="Times New Roman" w:cs="Times New Roman"/>
          <w:szCs w:val="32"/>
          <w:lang w:val="en-US" w:eastAsia="zh-CN"/>
        </w:rPr>
        <w:t>28.7</w:t>
      </w:r>
      <w:r>
        <w:rPr>
          <w:rFonts w:hint="default" w:ascii="Times New Roman" w:hAnsi="Times New Roman" w:cs="Times New Roman"/>
          <w:szCs w:val="32"/>
        </w:rPr>
        <w:t>万元，占</w:t>
      </w:r>
      <w:r>
        <w:rPr>
          <w:rFonts w:hint="eastAsia" w:ascii="Times New Roman" w:hAnsi="Times New Roman" w:cs="Times New Roman"/>
          <w:szCs w:val="32"/>
          <w:lang w:val="en-US" w:eastAsia="zh-CN"/>
        </w:rPr>
        <w:t>81.7</w:t>
      </w:r>
      <w:r>
        <w:rPr>
          <w:rFonts w:hint="default" w:ascii="Times New Roman" w:hAnsi="Times New Roman" w:cs="Times New Roman"/>
          <w:szCs w:val="32"/>
        </w:rPr>
        <w:t>%；上年结转</w:t>
      </w:r>
      <w:r>
        <w:rPr>
          <w:rFonts w:hint="eastAsia" w:ascii="Times New Roman" w:hAnsi="Times New Roman" w:cs="Times New Roman"/>
          <w:szCs w:val="32"/>
          <w:lang w:val="en-US" w:eastAsia="zh-CN"/>
        </w:rPr>
        <w:t>6.43</w:t>
      </w:r>
      <w:r>
        <w:rPr>
          <w:rFonts w:hint="default" w:ascii="Times New Roman" w:hAnsi="Times New Roman" w:cs="Times New Roman"/>
          <w:szCs w:val="32"/>
        </w:rPr>
        <w:t>万元，占</w:t>
      </w:r>
      <w:r>
        <w:rPr>
          <w:rFonts w:hint="eastAsia" w:ascii="Times New Roman" w:hAnsi="Times New Roman" w:cs="Times New Roman"/>
          <w:szCs w:val="32"/>
          <w:lang w:val="en-US" w:eastAsia="zh-CN"/>
        </w:rPr>
        <w:t>18.3</w:t>
      </w:r>
      <w:r>
        <w:rPr>
          <w:rFonts w:hint="default" w:ascii="Times New Roman" w:hAnsi="Times New Roman" w:cs="Times New Roman"/>
          <w:szCs w:val="32"/>
        </w:rPr>
        <w:t>%。本年收入中，一般公共预算拨款收入</w:t>
      </w:r>
      <w:r>
        <w:rPr>
          <w:rFonts w:hint="eastAsia" w:ascii="Times New Roman" w:hAnsi="Times New Roman" w:cs="Times New Roman"/>
          <w:szCs w:val="32"/>
          <w:lang w:val="en-US" w:eastAsia="zh-CN"/>
        </w:rPr>
        <w:t>28.7</w:t>
      </w:r>
      <w:r>
        <w:rPr>
          <w:rFonts w:hint="default" w:ascii="Times New Roman" w:hAnsi="Times New Roman" w:cs="Times New Roman"/>
          <w:szCs w:val="32"/>
        </w:rPr>
        <w:t>万元，占</w:t>
      </w:r>
      <w:r>
        <w:rPr>
          <w:rFonts w:hint="eastAsia" w:ascii="Times New Roman" w:hAnsi="Times New Roman" w:cs="Times New Roman"/>
          <w:szCs w:val="32"/>
          <w:lang w:val="en-US" w:eastAsia="zh-CN"/>
        </w:rPr>
        <w:t>100</w:t>
      </w:r>
      <w:r>
        <w:rPr>
          <w:rFonts w:hint="default" w:ascii="Times New Roman" w:hAnsi="Times New Roman" w:cs="Times New Roman"/>
          <w:szCs w:val="32"/>
        </w:rPr>
        <w:t>%；政府性基金预算拨款收入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%；国有资本经营预算拨款收入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%；财政专户管理资金收入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%；事业收入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%；上级补助收入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%；附属单位上缴收入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%；事业单位经营收入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%；其他收入</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%。上年结转中，一般公共预算拨款结转</w:t>
      </w:r>
      <w:r>
        <w:rPr>
          <w:rFonts w:hint="eastAsia" w:ascii="Times New Roman" w:hAnsi="Times New Roman" w:cs="Times New Roman"/>
          <w:szCs w:val="32"/>
          <w:lang w:val="en-US" w:eastAsia="zh-CN"/>
        </w:rPr>
        <w:t>6.43</w:t>
      </w:r>
      <w:r>
        <w:rPr>
          <w:rFonts w:hint="default" w:ascii="Times New Roman" w:hAnsi="Times New Roman" w:cs="Times New Roman"/>
          <w:szCs w:val="32"/>
        </w:rPr>
        <w:t>万元，占</w:t>
      </w:r>
      <w:r>
        <w:rPr>
          <w:rFonts w:hint="eastAsia" w:ascii="Times New Roman" w:hAnsi="Times New Roman" w:cs="Times New Roman"/>
          <w:szCs w:val="32"/>
          <w:lang w:val="en-US" w:eastAsia="zh-CN"/>
        </w:rPr>
        <w:t>100</w:t>
      </w:r>
      <w:r>
        <w:rPr>
          <w:rFonts w:hint="default" w:ascii="Times New Roman" w:hAnsi="Times New Roman" w:cs="Times New Roman"/>
          <w:szCs w:val="32"/>
        </w:rPr>
        <w:t>%；政府性基金预算拨款结转</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%；国有资本经营预算拨款结转</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%；财政专户管理资金结转结余</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%；单位资金结转</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%；用事业基金弥补收支差额</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w:t>
      </w:r>
    </w:p>
    <w:p>
      <w:pPr>
        <w:ind w:firstLine="640" w:firstLineChars="200"/>
        <w:rPr>
          <w:rFonts w:hint="default" w:ascii="Times New Roman" w:hAnsi="Times New Roman" w:eastAsia="黑体" w:cs="Times New Roman"/>
          <w:szCs w:val="32"/>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三、</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支出预算情况</w:t>
      </w:r>
    </w:p>
    <w:p>
      <w:pPr>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支出预算</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万元，其中：基本支出</w:t>
      </w:r>
      <w:r>
        <w:rPr>
          <w:rFonts w:hint="eastAsia" w:ascii="Times New Roman" w:hAnsi="Times New Roman" w:cs="Times New Roman"/>
          <w:szCs w:val="32"/>
          <w:lang w:val="en-US" w:eastAsia="zh-CN"/>
        </w:rPr>
        <w:t>35.13</w:t>
      </w:r>
      <w:r>
        <w:rPr>
          <w:rFonts w:hint="default" w:ascii="Times New Roman" w:hAnsi="Times New Roman" w:cs="Times New Roman"/>
          <w:szCs w:val="32"/>
        </w:rPr>
        <w:t>万元，占</w:t>
      </w:r>
      <w:r>
        <w:rPr>
          <w:rFonts w:hint="eastAsia" w:ascii="Times New Roman" w:hAnsi="Times New Roman" w:cs="Times New Roman"/>
          <w:szCs w:val="32"/>
          <w:lang w:val="en-US" w:eastAsia="zh-CN"/>
        </w:rPr>
        <w:t>100</w:t>
      </w:r>
      <w:r>
        <w:rPr>
          <w:rFonts w:hint="default" w:ascii="Times New Roman" w:hAnsi="Times New Roman" w:cs="Times New Roman"/>
          <w:szCs w:val="32"/>
        </w:rPr>
        <w:t>%；项目支出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%；事业单位经营支出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%；上缴上级支出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%；对附属单位补助支出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w:t>
      </w:r>
    </w:p>
    <w:p>
      <w:pPr>
        <w:rPr>
          <w:rFonts w:hint="default" w:ascii="Times New Roman" w:hAnsi="Times New Roman" w:eastAsia="黑体" w:cs="Times New Roman"/>
          <w:szCs w:val="32"/>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四、</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财政拨款收支预算情况</w:t>
      </w:r>
    </w:p>
    <w:p>
      <w:pPr>
        <w:ind w:firstLine="6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财政拨款收支总预算</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万元，其中：本年收入</w:t>
      </w:r>
      <w:r>
        <w:rPr>
          <w:rFonts w:hint="eastAsia" w:ascii="Times New Roman" w:hAnsi="Times New Roman" w:cs="Times New Roman"/>
          <w:szCs w:val="32"/>
          <w:lang w:val="en-US" w:eastAsia="zh-CN"/>
        </w:rPr>
        <w:t>28.7</w:t>
      </w:r>
      <w:r>
        <w:rPr>
          <w:rFonts w:hint="default" w:ascii="Times New Roman" w:hAnsi="Times New Roman" w:cs="Times New Roman"/>
          <w:szCs w:val="32"/>
        </w:rPr>
        <w:t>万元，上年结转</w:t>
      </w:r>
      <w:r>
        <w:rPr>
          <w:rFonts w:hint="eastAsia" w:ascii="Times New Roman" w:hAnsi="Times New Roman" w:cs="Times New Roman"/>
          <w:szCs w:val="32"/>
          <w:lang w:val="en-US" w:eastAsia="zh-CN"/>
        </w:rPr>
        <w:t>6.43</w:t>
      </w:r>
      <w:r>
        <w:rPr>
          <w:rFonts w:hint="default" w:ascii="Times New Roman" w:hAnsi="Times New Roman" w:cs="Times New Roman"/>
          <w:szCs w:val="32"/>
        </w:rPr>
        <w:t>万元。支出包括：</w:t>
      </w:r>
      <w:r>
        <w:rPr>
          <w:rFonts w:hint="default" w:ascii="Times New Roman" w:hAnsi="Times New Roman" w:cs="Times New Roman"/>
          <w:kern w:val="0"/>
          <w:szCs w:val="32"/>
        </w:rPr>
        <w:t>一般公共服务支出</w:t>
      </w:r>
      <w:r>
        <w:rPr>
          <w:rFonts w:hint="eastAsia" w:ascii="Times New Roman" w:hAnsi="Times New Roman" w:cs="Times New Roman"/>
          <w:kern w:val="0"/>
          <w:szCs w:val="32"/>
          <w:lang w:val="en-US" w:eastAsia="zh-CN"/>
        </w:rPr>
        <w:t>26.02</w:t>
      </w:r>
      <w:r>
        <w:rPr>
          <w:rFonts w:hint="default" w:ascii="Times New Roman" w:hAnsi="Times New Roman" w:cs="Times New Roman"/>
          <w:szCs w:val="32"/>
        </w:rPr>
        <w:t>万元，</w:t>
      </w:r>
      <w:r>
        <w:rPr>
          <w:rFonts w:hint="default" w:ascii="Times New Roman" w:hAnsi="Times New Roman" w:cs="Times New Roman"/>
          <w:kern w:val="0"/>
          <w:szCs w:val="32"/>
        </w:rPr>
        <w:t>国防支出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公共安全支出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教育支出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科学技术支出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文化旅游体育与传媒支出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社会保障和就业支出</w:t>
      </w:r>
      <w:r>
        <w:rPr>
          <w:rFonts w:hint="eastAsia" w:ascii="Times New Roman" w:hAnsi="Times New Roman" w:cs="Times New Roman"/>
          <w:kern w:val="0"/>
          <w:szCs w:val="32"/>
          <w:lang w:val="en-US" w:eastAsia="zh-CN"/>
        </w:rPr>
        <w:t>5.58</w:t>
      </w:r>
      <w:r>
        <w:rPr>
          <w:rFonts w:hint="default" w:ascii="Times New Roman" w:hAnsi="Times New Roman" w:cs="Times New Roman"/>
          <w:szCs w:val="32"/>
        </w:rPr>
        <w:t>万元，</w:t>
      </w:r>
      <w:r>
        <w:rPr>
          <w:rFonts w:hint="default" w:ascii="Times New Roman" w:hAnsi="Times New Roman" w:cs="Times New Roman"/>
          <w:kern w:val="0"/>
          <w:szCs w:val="32"/>
        </w:rPr>
        <w:t>社会保险基金支出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卫生健康支出</w:t>
      </w:r>
      <w:r>
        <w:rPr>
          <w:rFonts w:hint="eastAsia" w:ascii="Times New Roman" w:hAnsi="Times New Roman" w:cs="Times New Roman"/>
          <w:kern w:val="0"/>
          <w:szCs w:val="32"/>
          <w:lang w:val="en-US" w:eastAsia="zh-CN"/>
        </w:rPr>
        <w:t>1.24</w:t>
      </w:r>
      <w:r>
        <w:rPr>
          <w:rFonts w:hint="default" w:ascii="Times New Roman" w:hAnsi="Times New Roman" w:cs="Times New Roman"/>
          <w:szCs w:val="32"/>
        </w:rPr>
        <w:t>万元，</w:t>
      </w:r>
      <w:r>
        <w:rPr>
          <w:rFonts w:hint="default" w:ascii="Times New Roman" w:hAnsi="Times New Roman" w:cs="Times New Roman"/>
          <w:kern w:val="0"/>
          <w:szCs w:val="32"/>
        </w:rPr>
        <w:t>节能环保支出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城乡社区支出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农林水支出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交通运输支出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资源勘探信息等支出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商业服务业等支出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金融支出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援助其他地区支出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自然资源海洋气象等支出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住房保障支出</w:t>
      </w:r>
      <w:r>
        <w:rPr>
          <w:rFonts w:hint="eastAsia" w:ascii="Times New Roman" w:hAnsi="Times New Roman" w:cs="Times New Roman"/>
          <w:kern w:val="0"/>
          <w:szCs w:val="32"/>
          <w:lang w:val="en-US" w:eastAsia="zh-CN"/>
        </w:rPr>
        <w:t>2.29</w:t>
      </w:r>
      <w:r>
        <w:rPr>
          <w:rFonts w:hint="default" w:ascii="Times New Roman" w:hAnsi="Times New Roman" w:cs="Times New Roman"/>
          <w:szCs w:val="32"/>
        </w:rPr>
        <w:t>万元，</w:t>
      </w:r>
      <w:r>
        <w:rPr>
          <w:rFonts w:hint="default" w:ascii="Times New Roman" w:hAnsi="Times New Roman" w:cs="Times New Roman"/>
          <w:kern w:val="0"/>
          <w:szCs w:val="32"/>
        </w:rPr>
        <w:t>粮油物资储备支出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万元，灾害防治及应急管理支出</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其他支出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r>
        <w:rPr>
          <w:rFonts w:hint="default" w:ascii="Times New Roman" w:hAnsi="Times New Roman" w:cs="Times New Roman"/>
          <w:kern w:val="0"/>
          <w:szCs w:val="32"/>
        </w:rPr>
        <w:t>结转下年支出</w:t>
      </w:r>
      <w:r>
        <w:rPr>
          <w:rFonts w:hint="eastAsia" w:ascii="Times New Roman" w:hAnsi="Times New Roman" w:cs="Times New Roman"/>
          <w:kern w:val="0"/>
          <w:szCs w:val="32"/>
          <w:lang w:val="en-US" w:eastAsia="zh-CN"/>
        </w:rPr>
        <w:t>0</w:t>
      </w:r>
      <w:r>
        <w:rPr>
          <w:rFonts w:hint="default" w:ascii="Times New Roman" w:hAnsi="Times New Roman" w:cs="Times New Roman"/>
          <w:szCs w:val="32"/>
        </w:rPr>
        <w:t>万元。</w:t>
      </w:r>
    </w:p>
    <w:p>
      <w:pPr>
        <w:rPr>
          <w:rFonts w:hint="default" w:ascii="Times New Roman" w:hAnsi="Times New Roman" w:cs="Times New Roman"/>
          <w:szCs w:val="32"/>
        </w:rPr>
      </w:pPr>
    </w:p>
    <w:p>
      <w:pPr>
        <w:ind w:firstLine="600"/>
        <w:rPr>
          <w:rFonts w:hint="default" w:ascii="Times New Roman" w:hAnsi="Times New Roman" w:eastAsia="黑体" w:cs="Times New Roman"/>
          <w:szCs w:val="30"/>
        </w:rPr>
      </w:pPr>
      <w:r>
        <w:rPr>
          <w:rFonts w:hint="default" w:ascii="Times New Roman" w:hAnsi="Times New Roman" w:eastAsia="黑体" w:cs="Times New Roman"/>
          <w:szCs w:val="30"/>
        </w:rPr>
        <w:t>五、</w:t>
      </w:r>
      <w:r>
        <w:rPr>
          <w:rFonts w:hint="default" w:ascii="Times New Roman" w:hAnsi="Times New Roman" w:eastAsia="黑体" w:cs="Times New Roman"/>
          <w:szCs w:val="30"/>
          <w:lang w:eastAsia="zh-CN"/>
        </w:rPr>
        <w:t>2024年</w:t>
      </w:r>
      <w:r>
        <w:rPr>
          <w:rFonts w:hint="default" w:ascii="Times New Roman" w:hAnsi="Times New Roman" w:eastAsia="黑体" w:cs="Times New Roman"/>
          <w:szCs w:val="30"/>
        </w:rPr>
        <w:t>一般公共预算支出情况</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一般公共预算拨款</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万元，其中：基本支出</w:t>
      </w:r>
      <w:r>
        <w:rPr>
          <w:rFonts w:hint="eastAsia" w:ascii="Times New Roman" w:hAnsi="Times New Roman" w:cs="Times New Roman"/>
          <w:szCs w:val="32"/>
          <w:lang w:val="en-US" w:eastAsia="zh-CN"/>
        </w:rPr>
        <w:t>35.13</w:t>
      </w:r>
      <w:r>
        <w:rPr>
          <w:rFonts w:hint="default" w:ascii="Times New Roman" w:hAnsi="Times New Roman" w:cs="Times New Roman"/>
          <w:szCs w:val="32"/>
        </w:rPr>
        <w:t>万元，占</w:t>
      </w:r>
      <w:r>
        <w:rPr>
          <w:rFonts w:hint="eastAsia" w:ascii="Times New Roman" w:hAnsi="Times New Roman" w:cs="Times New Roman"/>
          <w:szCs w:val="32"/>
          <w:lang w:val="en-US" w:eastAsia="zh-CN"/>
        </w:rPr>
        <w:t>100</w:t>
      </w:r>
      <w:r>
        <w:rPr>
          <w:rFonts w:hint="default" w:ascii="Times New Roman" w:hAnsi="Times New Roman" w:cs="Times New Roman"/>
          <w:szCs w:val="32"/>
        </w:rPr>
        <w:t>%；项目支出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%。基本支出中，人员经费</w:t>
      </w:r>
      <w:r>
        <w:rPr>
          <w:rFonts w:hint="eastAsia" w:ascii="Times New Roman" w:hAnsi="Times New Roman" w:cs="Times New Roman"/>
          <w:szCs w:val="32"/>
          <w:lang w:val="en-US" w:eastAsia="zh-CN"/>
        </w:rPr>
        <w:t>30.63</w:t>
      </w:r>
      <w:r>
        <w:rPr>
          <w:rFonts w:hint="default" w:ascii="Times New Roman" w:hAnsi="Times New Roman" w:cs="Times New Roman"/>
          <w:szCs w:val="32"/>
        </w:rPr>
        <w:t>万元，占</w:t>
      </w:r>
      <w:r>
        <w:rPr>
          <w:rFonts w:hint="eastAsia" w:ascii="Times New Roman" w:hAnsi="Times New Roman" w:cs="Times New Roman"/>
          <w:szCs w:val="32"/>
          <w:lang w:val="en-US" w:eastAsia="zh-CN"/>
        </w:rPr>
        <w:t>87.19</w:t>
      </w:r>
      <w:r>
        <w:rPr>
          <w:rFonts w:hint="default" w:ascii="Times New Roman" w:hAnsi="Times New Roman" w:cs="Times New Roman"/>
          <w:szCs w:val="32"/>
        </w:rPr>
        <w:t>%；公用经费</w:t>
      </w:r>
      <w:r>
        <w:rPr>
          <w:rFonts w:hint="eastAsia" w:ascii="Times New Roman" w:hAnsi="Times New Roman" w:cs="Times New Roman"/>
          <w:szCs w:val="32"/>
          <w:lang w:val="en-US" w:eastAsia="zh-CN"/>
        </w:rPr>
        <w:t>4.50</w:t>
      </w:r>
      <w:r>
        <w:rPr>
          <w:rFonts w:hint="default" w:ascii="Times New Roman" w:hAnsi="Times New Roman" w:cs="Times New Roman"/>
          <w:szCs w:val="32"/>
        </w:rPr>
        <w:t>万元，占</w:t>
      </w:r>
      <w:r>
        <w:rPr>
          <w:rFonts w:hint="eastAsia" w:ascii="Times New Roman" w:hAnsi="Times New Roman" w:cs="Times New Roman"/>
          <w:szCs w:val="32"/>
          <w:lang w:val="en-US" w:eastAsia="zh-CN"/>
        </w:rPr>
        <w:t>12.81</w:t>
      </w:r>
      <w:r>
        <w:rPr>
          <w:rFonts w:hint="default" w:ascii="Times New Roman" w:hAnsi="Times New Roman" w:cs="Times New Roman"/>
          <w:szCs w:val="32"/>
        </w:rPr>
        <w:t>%。</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lang w:val="en-US" w:eastAsia="zh-CN"/>
        </w:rPr>
        <w:t>额外需要说明的是，2024年度委托业务费</w:t>
      </w:r>
      <w:r>
        <w:rPr>
          <w:rFonts w:hint="eastAsia" w:ascii="Times New Roman" w:hAnsi="Times New Roman" w:cs="Times New Roman"/>
          <w:szCs w:val="32"/>
          <w:lang w:val="en-US" w:eastAsia="zh-CN"/>
        </w:rPr>
        <w:t>（30227-委托业务费科目）</w:t>
      </w:r>
      <w:r>
        <w:rPr>
          <w:rFonts w:hint="default" w:ascii="Times New Roman" w:hAnsi="Times New Roman" w:cs="Times New Roman"/>
          <w:szCs w:val="32"/>
        </w:rPr>
        <w:t>一般公共预算拨款</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w:t>
      </w:r>
      <w:r>
        <w:rPr>
          <w:rFonts w:hint="default" w:ascii="Times New Roman" w:hAnsi="Times New Roman" w:cs="Times New Roman"/>
          <w:szCs w:val="32"/>
        </w:rPr>
        <w:t>比</w:t>
      </w:r>
      <w:r>
        <w:rPr>
          <w:rFonts w:hint="default" w:ascii="Times New Roman" w:hAnsi="Times New Roman" w:cs="Times New Roman"/>
          <w:szCs w:val="32"/>
          <w:lang w:eastAsia="zh-CN"/>
        </w:rPr>
        <w:t>2023年</w:t>
      </w:r>
      <w:r>
        <w:rPr>
          <w:rFonts w:hint="default" w:ascii="Times New Roman" w:hAnsi="Times New Roman" w:cs="Times New Roman"/>
          <w:szCs w:val="32"/>
        </w:rPr>
        <w:t>预算增加</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w:t>
      </w:r>
    </w:p>
    <w:p>
      <w:pPr>
        <w:spacing w:line="520" w:lineRule="exact"/>
        <w:ind w:firstLine="518" w:firstLineChars="162"/>
        <w:rPr>
          <w:rFonts w:hint="default" w:ascii="Times New Roman" w:hAnsi="Times New Roman" w:cs="Times New Roman"/>
          <w:szCs w:val="32"/>
        </w:rPr>
      </w:pPr>
      <w:r>
        <w:rPr>
          <w:rFonts w:hint="default" w:ascii="Times New Roman" w:hAnsi="Times New Roman" w:cs="Times New Roman"/>
          <w:szCs w:val="32"/>
        </w:rPr>
        <w:t>一般公共服务（类）支出</w:t>
      </w:r>
      <w:r>
        <w:rPr>
          <w:rFonts w:hint="eastAsia" w:ascii="Times New Roman" w:hAnsi="Times New Roman" w:cs="Times New Roman"/>
          <w:szCs w:val="32"/>
          <w:lang w:val="en-US" w:eastAsia="zh-CN"/>
        </w:rPr>
        <w:t>26.02</w:t>
      </w:r>
      <w:r>
        <w:rPr>
          <w:rFonts w:hint="default" w:ascii="Times New Roman" w:hAnsi="Times New Roman" w:cs="Times New Roman"/>
          <w:szCs w:val="32"/>
        </w:rPr>
        <w:t>万元，占</w:t>
      </w:r>
      <w:r>
        <w:rPr>
          <w:rFonts w:hint="eastAsia" w:ascii="Times New Roman" w:hAnsi="Times New Roman" w:cs="Times New Roman"/>
          <w:szCs w:val="32"/>
          <w:lang w:val="en-US" w:eastAsia="zh-CN"/>
        </w:rPr>
        <w:t>74.07</w:t>
      </w:r>
      <w:r>
        <w:rPr>
          <w:rFonts w:hint="default" w:ascii="Times New Roman" w:hAnsi="Times New Roman" w:cs="Times New Roman"/>
          <w:szCs w:val="32"/>
        </w:rPr>
        <w:t>%，主要用于</w:t>
      </w:r>
      <w:r>
        <w:rPr>
          <w:rFonts w:hint="eastAsia" w:ascii="Times New Roman" w:hAnsi="Times New Roman" w:cs="Times New Roman"/>
          <w:szCs w:val="32"/>
          <w:lang w:eastAsia="zh-CN"/>
        </w:rPr>
        <w:t>人员经费和公用经费</w:t>
      </w:r>
      <w:r>
        <w:rPr>
          <w:rFonts w:hint="default" w:ascii="Times New Roman" w:hAnsi="Times New Roman" w:cs="Times New Roman"/>
          <w:szCs w:val="32"/>
        </w:rPr>
        <w:t>。</w:t>
      </w:r>
    </w:p>
    <w:p>
      <w:pPr>
        <w:spacing w:line="520" w:lineRule="exact"/>
        <w:ind w:firstLine="518" w:firstLineChars="162"/>
        <w:rPr>
          <w:rFonts w:hint="default" w:ascii="Times New Roman" w:hAnsi="Times New Roman" w:cs="Times New Roman"/>
          <w:szCs w:val="32"/>
        </w:rPr>
      </w:pPr>
      <w:r>
        <w:rPr>
          <w:rFonts w:hint="default" w:ascii="Times New Roman" w:hAnsi="Times New Roman" w:cs="Times New Roman"/>
          <w:szCs w:val="32"/>
        </w:rPr>
        <w:t>国防（类）支出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%，主要用于</w:t>
      </w:r>
      <w:r>
        <w:rPr>
          <w:rFonts w:hint="eastAsia" w:ascii="Times New Roman" w:hAnsi="Times New Roman" w:cs="Times New Roman"/>
          <w:szCs w:val="32"/>
          <w:lang w:eastAsia="zh-CN"/>
        </w:rPr>
        <w:t>本部门无国防类支出</w:t>
      </w:r>
      <w:r>
        <w:rPr>
          <w:rFonts w:hint="default" w:ascii="Times New Roman" w:hAnsi="Times New Roman" w:cs="Times New Roman"/>
          <w:szCs w:val="32"/>
        </w:rPr>
        <w:t>。</w:t>
      </w:r>
    </w:p>
    <w:p>
      <w:pPr>
        <w:spacing w:line="520" w:lineRule="exact"/>
        <w:ind w:firstLine="518" w:firstLineChars="162"/>
        <w:rPr>
          <w:rFonts w:hint="default" w:ascii="Times New Roman" w:hAnsi="Times New Roman" w:cs="Times New Roman"/>
          <w:szCs w:val="32"/>
        </w:rPr>
      </w:pPr>
      <w:r>
        <w:rPr>
          <w:rFonts w:hint="default" w:ascii="Times New Roman" w:hAnsi="Times New Roman" w:cs="Times New Roman"/>
          <w:szCs w:val="32"/>
        </w:rPr>
        <w:t>教育（类）支出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%，主要用于</w:t>
      </w:r>
      <w:r>
        <w:rPr>
          <w:rFonts w:hint="eastAsia" w:ascii="Times New Roman" w:hAnsi="Times New Roman" w:cs="Times New Roman"/>
          <w:szCs w:val="32"/>
          <w:lang w:eastAsia="zh-CN"/>
        </w:rPr>
        <w:t>本部门无教育类支出</w:t>
      </w:r>
      <w:r>
        <w:rPr>
          <w:rFonts w:hint="default" w:ascii="Times New Roman" w:hAnsi="Times New Roman" w:cs="Times New Roman"/>
          <w:szCs w:val="32"/>
        </w:rPr>
        <w:t>。</w:t>
      </w:r>
    </w:p>
    <w:p>
      <w:pPr>
        <w:spacing w:line="520" w:lineRule="exact"/>
        <w:ind w:firstLine="518" w:firstLineChars="162"/>
        <w:rPr>
          <w:rFonts w:hint="default" w:ascii="Times New Roman" w:hAnsi="Times New Roman" w:cs="Times New Roman"/>
          <w:szCs w:val="32"/>
        </w:rPr>
      </w:pPr>
      <w:r>
        <w:rPr>
          <w:rFonts w:hint="default" w:ascii="Times New Roman" w:hAnsi="Times New Roman" w:cs="Times New Roman"/>
          <w:szCs w:val="32"/>
        </w:rPr>
        <w:t>科学技术（类）支出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%，主要用于</w:t>
      </w:r>
      <w:r>
        <w:rPr>
          <w:rFonts w:hint="eastAsia" w:ascii="Times New Roman" w:hAnsi="Times New Roman" w:cs="Times New Roman"/>
          <w:szCs w:val="32"/>
          <w:lang w:eastAsia="zh-CN"/>
        </w:rPr>
        <w:t>本部门无科学技术类支出</w:t>
      </w:r>
      <w:r>
        <w:rPr>
          <w:rFonts w:hint="default" w:ascii="Times New Roman" w:hAnsi="Times New Roman" w:cs="Times New Roman"/>
          <w:szCs w:val="32"/>
        </w:rPr>
        <w:t>。</w:t>
      </w:r>
    </w:p>
    <w:p>
      <w:pPr>
        <w:spacing w:line="520" w:lineRule="exact"/>
        <w:ind w:firstLine="518" w:firstLineChars="162"/>
        <w:rPr>
          <w:rFonts w:hint="default" w:ascii="Times New Roman" w:hAnsi="Times New Roman" w:cs="Times New Roman"/>
          <w:szCs w:val="32"/>
        </w:rPr>
      </w:pPr>
      <w:r>
        <w:rPr>
          <w:rFonts w:hint="default" w:ascii="Times New Roman" w:hAnsi="Times New Roman" w:cs="Times New Roman"/>
          <w:szCs w:val="32"/>
        </w:rPr>
        <w:t>文化旅游体育与传媒（类）支出</w:t>
      </w:r>
      <w:r>
        <w:rPr>
          <w:rFonts w:hint="eastAsia" w:ascii="Times New Roman" w:hAnsi="Times New Roman" w:cs="Times New Roman"/>
          <w:szCs w:val="32"/>
          <w:lang w:val="en-US" w:eastAsia="zh-CN"/>
        </w:rPr>
        <w:t>0</w:t>
      </w:r>
      <w:r>
        <w:rPr>
          <w:rFonts w:hint="default" w:ascii="Times New Roman" w:hAnsi="Times New Roman" w:cs="Times New Roman"/>
          <w:szCs w:val="32"/>
        </w:rPr>
        <w:t>万元，占</w:t>
      </w:r>
      <w:r>
        <w:rPr>
          <w:rFonts w:hint="eastAsia" w:ascii="Times New Roman" w:hAnsi="Times New Roman" w:cs="Times New Roman"/>
          <w:szCs w:val="32"/>
          <w:lang w:val="en-US" w:eastAsia="zh-CN"/>
        </w:rPr>
        <w:t>0</w:t>
      </w:r>
      <w:r>
        <w:rPr>
          <w:rFonts w:hint="default" w:ascii="Times New Roman" w:hAnsi="Times New Roman" w:cs="Times New Roman"/>
          <w:szCs w:val="32"/>
        </w:rPr>
        <w:t>%，主要用于</w:t>
      </w:r>
      <w:r>
        <w:rPr>
          <w:rFonts w:hint="eastAsia" w:ascii="Times New Roman" w:hAnsi="Times New Roman" w:cs="Times New Roman"/>
          <w:szCs w:val="32"/>
          <w:lang w:eastAsia="zh-CN"/>
        </w:rPr>
        <w:t>本部门无文化旅游体育与传媒支出</w:t>
      </w:r>
      <w:r>
        <w:rPr>
          <w:rFonts w:hint="default" w:ascii="Times New Roman" w:hAnsi="Times New Roman" w:cs="Times New Roman"/>
          <w:szCs w:val="32"/>
        </w:rPr>
        <w:t>。</w:t>
      </w:r>
    </w:p>
    <w:p>
      <w:pPr>
        <w:spacing w:line="520" w:lineRule="exact"/>
        <w:ind w:firstLine="518" w:firstLineChars="162"/>
        <w:rPr>
          <w:rFonts w:hint="default" w:ascii="Times New Roman" w:hAnsi="Times New Roman" w:cs="Times New Roman"/>
          <w:color w:val="auto"/>
          <w:szCs w:val="32"/>
        </w:rPr>
      </w:pPr>
      <w:r>
        <w:rPr>
          <w:rFonts w:hint="default" w:ascii="Times New Roman" w:hAnsi="Times New Roman" w:cs="Times New Roman"/>
          <w:color w:val="auto"/>
          <w:szCs w:val="32"/>
        </w:rPr>
        <w:t>社会保障和就业（类）支出</w:t>
      </w:r>
      <w:r>
        <w:rPr>
          <w:rFonts w:hint="eastAsia" w:ascii="Times New Roman" w:hAnsi="Times New Roman" w:cs="Times New Roman"/>
          <w:color w:val="auto"/>
          <w:szCs w:val="32"/>
          <w:lang w:val="en-US" w:eastAsia="zh-CN"/>
        </w:rPr>
        <w:t>6.82</w:t>
      </w:r>
      <w:r>
        <w:rPr>
          <w:rFonts w:hint="default" w:ascii="Times New Roman" w:hAnsi="Times New Roman" w:cs="Times New Roman"/>
          <w:color w:val="auto"/>
          <w:szCs w:val="32"/>
        </w:rPr>
        <w:t>万元，占</w:t>
      </w:r>
      <w:r>
        <w:rPr>
          <w:rFonts w:hint="eastAsia" w:ascii="Times New Roman" w:hAnsi="Times New Roman" w:cs="Times New Roman"/>
          <w:color w:val="auto"/>
          <w:szCs w:val="32"/>
          <w:lang w:val="en-US" w:eastAsia="zh-CN"/>
        </w:rPr>
        <w:t>19.41</w:t>
      </w:r>
      <w:r>
        <w:rPr>
          <w:rFonts w:hint="default" w:ascii="Times New Roman" w:hAnsi="Times New Roman" w:cs="Times New Roman"/>
          <w:color w:val="auto"/>
          <w:szCs w:val="32"/>
        </w:rPr>
        <w:t>%，主要用于</w:t>
      </w:r>
      <w:r>
        <w:rPr>
          <w:rFonts w:hint="eastAsia" w:ascii="Times New Roman" w:hAnsi="Times New Roman" w:cs="Times New Roman"/>
          <w:color w:val="auto"/>
          <w:szCs w:val="32"/>
          <w:lang w:eastAsia="zh-CN"/>
        </w:rPr>
        <w:t>在职人员医保社保的缴纳</w:t>
      </w:r>
      <w:r>
        <w:rPr>
          <w:rFonts w:hint="default" w:ascii="Times New Roman" w:hAnsi="Times New Roman" w:cs="Times New Roman"/>
          <w:color w:val="auto"/>
          <w:szCs w:val="32"/>
        </w:rPr>
        <w:t>。</w:t>
      </w:r>
    </w:p>
    <w:p>
      <w:pPr>
        <w:spacing w:line="520" w:lineRule="exact"/>
        <w:ind w:firstLine="518" w:firstLineChars="162"/>
        <w:rPr>
          <w:rFonts w:hint="default" w:ascii="Times New Roman" w:hAnsi="Times New Roman" w:cs="Times New Roman"/>
          <w:color w:val="auto"/>
          <w:szCs w:val="32"/>
        </w:rPr>
      </w:pPr>
      <w:r>
        <w:rPr>
          <w:rFonts w:hint="default" w:ascii="Times New Roman" w:hAnsi="Times New Roman" w:cs="Times New Roman"/>
          <w:color w:val="auto"/>
          <w:szCs w:val="32"/>
        </w:rPr>
        <w:t>农林水支出（类）支出</w:t>
      </w:r>
      <w:r>
        <w:rPr>
          <w:rFonts w:hint="eastAsia" w:ascii="Times New Roman" w:hAnsi="Times New Roman" w:cs="Times New Roman"/>
          <w:color w:val="auto"/>
          <w:szCs w:val="32"/>
          <w:lang w:val="en-US" w:eastAsia="zh-CN"/>
        </w:rPr>
        <w:t>0</w:t>
      </w:r>
      <w:r>
        <w:rPr>
          <w:rFonts w:hint="default" w:ascii="Times New Roman" w:hAnsi="Times New Roman" w:cs="Times New Roman"/>
          <w:color w:val="auto"/>
          <w:szCs w:val="32"/>
        </w:rPr>
        <w:t>万元，占</w:t>
      </w:r>
      <w:r>
        <w:rPr>
          <w:rFonts w:hint="eastAsia" w:ascii="Times New Roman" w:hAnsi="Times New Roman" w:cs="Times New Roman"/>
          <w:color w:val="auto"/>
          <w:szCs w:val="32"/>
          <w:lang w:val="en-US" w:eastAsia="zh-CN"/>
        </w:rPr>
        <w:t>0</w:t>
      </w:r>
      <w:r>
        <w:rPr>
          <w:rFonts w:hint="default" w:ascii="Times New Roman" w:hAnsi="Times New Roman" w:cs="Times New Roman"/>
          <w:color w:val="auto"/>
          <w:szCs w:val="32"/>
        </w:rPr>
        <w:t>%，主要用于</w:t>
      </w:r>
      <w:r>
        <w:rPr>
          <w:rFonts w:hint="eastAsia" w:ascii="Times New Roman" w:hAnsi="Times New Roman" w:cs="Times New Roman"/>
          <w:color w:val="auto"/>
          <w:szCs w:val="32"/>
          <w:lang w:eastAsia="zh-CN"/>
        </w:rPr>
        <w:t>本部门无农林水支出</w:t>
      </w:r>
      <w:r>
        <w:rPr>
          <w:rFonts w:hint="default" w:ascii="Times New Roman" w:hAnsi="Times New Roman" w:cs="Times New Roman"/>
          <w:color w:val="auto"/>
          <w:szCs w:val="32"/>
        </w:rPr>
        <w:t>。</w:t>
      </w:r>
    </w:p>
    <w:p>
      <w:pPr>
        <w:spacing w:line="520" w:lineRule="exact"/>
        <w:ind w:firstLine="518" w:firstLineChars="162"/>
        <w:rPr>
          <w:rFonts w:hint="default" w:ascii="Times New Roman" w:hAnsi="Times New Roman" w:cs="Times New Roman"/>
          <w:color w:val="auto"/>
          <w:szCs w:val="32"/>
        </w:rPr>
      </w:pPr>
      <w:r>
        <w:rPr>
          <w:rFonts w:hint="default" w:ascii="Times New Roman" w:hAnsi="Times New Roman" w:cs="Times New Roman"/>
          <w:color w:val="auto"/>
          <w:szCs w:val="32"/>
        </w:rPr>
        <w:t>住房保障（类）支出</w:t>
      </w:r>
      <w:r>
        <w:rPr>
          <w:rFonts w:hint="eastAsia" w:ascii="Times New Roman" w:hAnsi="Times New Roman" w:cs="Times New Roman"/>
          <w:color w:val="auto"/>
          <w:szCs w:val="32"/>
          <w:lang w:val="en-US" w:eastAsia="zh-CN"/>
        </w:rPr>
        <w:t>2.29</w:t>
      </w:r>
      <w:r>
        <w:rPr>
          <w:rFonts w:hint="default" w:ascii="Times New Roman" w:hAnsi="Times New Roman" w:cs="Times New Roman"/>
          <w:color w:val="auto"/>
          <w:szCs w:val="32"/>
        </w:rPr>
        <w:t>万元，占</w:t>
      </w:r>
      <w:r>
        <w:rPr>
          <w:rFonts w:hint="eastAsia" w:ascii="Times New Roman" w:hAnsi="Times New Roman" w:cs="Times New Roman"/>
          <w:color w:val="auto"/>
          <w:szCs w:val="32"/>
          <w:lang w:val="en-US" w:eastAsia="zh-CN"/>
        </w:rPr>
        <w:t>6.52</w:t>
      </w:r>
      <w:r>
        <w:rPr>
          <w:rFonts w:hint="default" w:ascii="Times New Roman" w:hAnsi="Times New Roman" w:cs="Times New Roman"/>
          <w:color w:val="auto"/>
          <w:szCs w:val="32"/>
        </w:rPr>
        <w:t>%，主要用于</w:t>
      </w:r>
      <w:r>
        <w:rPr>
          <w:rFonts w:hint="eastAsia" w:ascii="Times New Roman" w:hAnsi="Times New Roman" w:cs="Times New Roman"/>
          <w:color w:val="auto"/>
          <w:szCs w:val="32"/>
          <w:lang w:eastAsia="zh-CN"/>
        </w:rPr>
        <w:t>在职人员住房公积金的缴纳</w:t>
      </w:r>
      <w:r>
        <w:rPr>
          <w:rFonts w:hint="default" w:ascii="Times New Roman" w:hAnsi="Times New Roman" w:cs="Times New Roman"/>
          <w:color w:val="auto"/>
          <w:szCs w:val="32"/>
        </w:rPr>
        <w:t>。</w:t>
      </w:r>
    </w:p>
    <w:p>
      <w:pPr>
        <w:spacing w:line="520" w:lineRule="exact"/>
        <w:ind w:firstLine="640" w:firstLineChars="200"/>
        <w:rPr>
          <w:rFonts w:hint="default" w:ascii="Times New Roman" w:hAnsi="Times New Roman" w:eastAsia="黑体" w:cs="Times New Roman"/>
          <w:szCs w:val="32"/>
        </w:rPr>
      </w:pPr>
    </w:p>
    <w:p>
      <w:pPr>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六、</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一般公共预算基本支出情况</w:t>
      </w:r>
    </w:p>
    <w:p>
      <w:pPr>
        <w:ind w:firstLine="64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一般公共预算基本支出</w:t>
      </w:r>
      <w:r>
        <w:rPr>
          <w:rFonts w:hint="eastAsia" w:ascii="Times New Roman" w:hAnsi="Times New Roman" w:cs="Times New Roman"/>
          <w:szCs w:val="32"/>
          <w:lang w:val="en-US" w:eastAsia="zh-CN"/>
        </w:rPr>
        <w:t>35.13</w:t>
      </w:r>
      <w:r>
        <w:rPr>
          <w:rFonts w:hint="default" w:ascii="Times New Roman" w:hAnsi="Times New Roman" w:cs="Times New Roman"/>
          <w:szCs w:val="32"/>
        </w:rPr>
        <w:t>万元，其中：</w:t>
      </w:r>
    </w:p>
    <w:p>
      <w:pPr>
        <w:ind w:firstLine="640" w:firstLineChars="200"/>
        <w:rPr>
          <w:rFonts w:hint="default" w:ascii="Times New Roman" w:hAnsi="Times New Roman" w:cs="Times New Roman"/>
          <w:kern w:val="0"/>
          <w:szCs w:val="32"/>
        </w:rPr>
      </w:pPr>
      <w:r>
        <w:rPr>
          <w:rFonts w:hint="default" w:ascii="Times New Roman" w:hAnsi="Times New Roman" w:cs="Times New Roman"/>
          <w:szCs w:val="32"/>
        </w:rPr>
        <w:t>人员经费</w:t>
      </w:r>
      <w:r>
        <w:rPr>
          <w:rFonts w:hint="eastAsia" w:ascii="Times New Roman" w:hAnsi="Times New Roman" w:cs="Times New Roman"/>
          <w:szCs w:val="32"/>
          <w:lang w:val="en-US" w:eastAsia="zh-CN"/>
        </w:rPr>
        <w:t>30.63</w:t>
      </w:r>
      <w:r>
        <w:rPr>
          <w:rFonts w:hint="default" w:ascii="Times New Roman" w:hAnsi="Times New Roman" w:cs="Times New Roman"/>
          <w:szCs w:val="32"/>
        </w:rPr>
        <w:t>万元，主要包括：</w:t>
      </w:r>
      <w:r>
        <w:rPr>
          <w:rFonts w:hint="default" w:ascii="Times New Roman" w:hAnsi="Times New Roman" w:cs="Times New Roman"/>
          <w:kern w:val="0"/>
          <w:szCs w:val="32"/>
        </w:rPr>
        <w:t>基本工资、津贴补贴</w:t>
      </w:r>
      <w:r>
        <w:rPr>
          <w:rFonts w:hint="default" w:ascii="Times New Roman" w:hAnsi="Times New Roman" w:cs="Times New Roman"/>
          <w:szCs w:val="32"/>
        </w:rPr>
        <w:t>、</w:t>
      </w:r>
      <w:r>
        <w:rPr>
          <w:rFonts w:hint="default" w:ascii="Times New Roman" w:hAnsi="Times New Roman" w:cs="Times New Roman"/>
          <w:kern w:val="0"/>
          <w:szCs w:val="32"/>
        </w:rPr>
        <w:t>奖金</w:t>
      </w:r>
      <w:r>
        <w:rPr>
          <w:rFonts w:hint="default" w:ascii="Times New Roman" w:hAnsi="Times New Roman" w:cs="Times New Roman"/>
          <w:szCs w:val="32"/>
        </w:rPr>
        <w:t>、</w:t>
      </w:r>
      <w:r>
        <w:rPr>
          <w:rFonts w:hint="default" w:ascii="Times New Roman" w:hAnsi="Times New Roman" w:cs="Times New Roman"/>
          <w:kern w:val="0"/>
          <w:szCs w:val="32"/>
        </w:rPr>
        <w:t>社会保障缴费</w:t>
      </w:r>
      <w:r>
        <w:rPr>
          <w:rFonts w:hint="default" w:ascii="Times New Roman" w:hAnsi="Times New Roman" w:cs="Times New Roman"/>
          <w:szCs w:val="32"/>
        </w:rPr>
        <w:t>、</w:t>
      </w:r>
      <w:r>
        <w:rPr>
          <w:rFonts w:hint="default" w:ascii="Times New Roman" w:hAnsi="Times New Roman" w:cs="Times New Roman"/>
          <w:kern w:val="0"/>
          <w:szCs w:val="32"/>
        </w:rPr>
        <w:t>其他工资福利支出</w:t>
      </w:r>
      <w:r>
        <w:rPr>
          <w:rFonts w:hint="default" w:ascii="Times New Roman" w:hAnsi="Times New Roman" w:cs="Times New Roman"/>
          <w:szCs w:val="32"/>
        </w:rPr>
        <w:t>、</w:t>
      </w:r>
      <w:r>
        <w:rPr>
          <w:rFonts w:hint="default" w:ascii="Times New Roman" w:hAnsi="Times New Roman" w:cs="Times New Roman"/>
          <w:kern w:val="0"/>
          <w:szCs w:val="32"/>
        </w:rPr>
        <w:t>离休费</w:t>
      </w:r>
      <w:r>
        <w:rPr>
          <w:rFonts w:hint="default" w:ascii="Times New Roman" w:hAnsi="Times New Roman" w:cs="Times New Roman"/>
          <w:szCs w:val="32"/>
        </w:rPr>
        <w:t>、</w:t>
      </w:r>
      <w:r>
        <w:rPr>
          <w:rFonts w:hint="default" w:ascii="Times New Roman" w:hAnsi="Times New Roman" w:cs="Times New Roman"/>
          <w:kern w:val="0"/>
          <w:szCs w:val="32"/>
        </w:rPr>
        <w:t>退休费</w:t>
      </w:r>
      <w:r>
        <w:rPr>
          <w:rFonts w:hint="default" w:ascii="Times New Roman" w:hAnsi="Times New Roman" w:cs="Times New Roman"/>
          <w:szCs w:val="32"/>
        </w:rPr>
        <w:t>、</w:t>
      </w:r>
      <w:r>
        <w:rPr>
          <w:rFonts w:hint="default" w:ascii="Times New Roman" w:hAnsi="Times New Roman" w:cs="Times New Roman"/>
          <w:kern w:val="0"/>
          <w:szCs w:val="32"/>
        </w:rPr>
        <w:t>抚恤金</w:t>
      </w:r>
      <w:r>
        <w:rPr>
          <w:rFonts w:hint="default" w:ascii="Times New Roman" w:hAnsi="Times New Roman" w:cs="Times New Roman"/>
          <w:szCs w:val="32"/>
        </w:rPr>
        <w:t>、</w:t>
      </w:r>
      <w:r>
        <w:rPr>
          <w:rFonts w:hint="default" w:ascii="Times New Roman" w:hAnsi="Times New Roman" w:cs="Times New Roman"/>
          <w:kern w:val="0"/>
          <w:szCs w:val="32"/>
        </w:rPr>
        <w:t>生活补助</w:t>
      </w:r>
      <w:r>
        <w:rPr>
          <w:rFonts w:hint="default" w:ascii="Times New Roman" w:hAnsi="Times New Roman" w:cs="Times New Roman"/>
          <w:szCs w:val="32"/>
        </w:rPr>
        <w:t>、</w:t>
      </w:r>
      <w:r>
        <w:rPr>
          <w:rFonts w:hint="default" w:ascii="Times New Roman" w:hAnsi="Times New Roman" w:cs="Times New Roman"/>
          <w:kern w:val="0"/>
          <w:szCs w:val="32"/>
        </w:rPr>
        <w:t>助学金</w:t>
      </w:r>
      <w:r>
        <w:rPr>
          <w:rFonts w:hint="default" w:ascii="Times New Roman" w:hAnsi="Times New Roman" w:cs="Times New Roman"/>
          <w:szCs w:val="32"/>
        </w:rPr>
        <w:t>、</w:t>
      </w:r>
      <w:r>
        <w:rPr>
          <w:rFonts w:hint="default" w:ascii="Times New Roman" w:hAnsi="Times New Roman" w:cs="Times New Roman"/>
          <w:kern w:val="0"/>
          <w:szCs w:val="32"/>
        </w:rPr>
        <w:t>住房公积金</w:t>
      </w:r>
      <w:r>
        <w:rPr>
          <w:rFonts w:hint="default" w:ascii="Times New Roman" w:hAnsi="Times New Roman" w:cs="Times New Roman"/>
          <w:szCs w:val="32"/>
        </w:rPr>
        <w:t>、</w:t>
      </w:r>
      <w:r>
        <w:rPr>
          <w:rFonts w:hint="default" w:ascii="Times New Roman" w:hAnsi="Times New Roman" w:cs="Times New Roman"/>
          <w:kern w:val="0"/>
          <w:szCs w:val="32"/>
        </w:rPr>
        <w:t>采暖补贴</w:t>
      </w:r>
      <w:r>
        <w:rPr>
          <w:rFonts w:hint="default" w:ascii="Times New Roman" w:hAnsi="Times New Roman" w:cs="Times New Roman"/>
          <w:szCs w:val="32"/>
        </w:rPr>
        <w:t>、</w:t>
      </w:r>
      <w:r>
        <w:rPr>
          <w:rFonts w:hint="default" w:ascii="Times New Roman" w:hAnsi="Times New Roman" w:cs="Times New Roman"/>
          <w:kern w:val="0"/>
          <w:szCs w:val="32"/>
        </w:rPr>
        <w:t>其他对个人和家庭的补助支出。</w:t>
      </w:r>
    </w:p>
    <w:p>
      <w:pPr>
        <w:ind w:firstLine="640" w:firstLineChars="200"/>
        <w:rPr>
          <w:rFonts w:hint="default" w:ascii="Times New Roman" w:hAnsi="Times New Roman" w:cs="Times New Roman"/>
          <w:szCs w:val="32"/>
        </w:rPr>
      </w:pPr>
      <w:r>
        <w:rPr>
          <w:rFonts w:hint="default" w:ascii="Times New Roman" w:hAnsi="Times New Roman" w:cs="Times New Roman"/>
          <w:kern w:val="0"/>
          <w:szCs w:val="32"/>
        </w:rPr>
        <w:t>公用经费</w:t>
      </w:r>
      <w:r>
        <w:rPr>
          <w:rFonts w:hint="eastAsia" w:ascii="Times New Roman" w:hAnsi="Times New Roman" w:cs="Times New Roman"/>
          <w:kern w:val="0"/>
          <w:szCs w:val="32"/>
          <w:lang w:val="en-US" w:eastAsia="zh-CN"/>
        </w:rPr>
        <w:t>4.50</w:t>
      </w:r>
      <w:r>
        <w:rPr>
          <w:rFonts w:hint="default" w:ascii="Times New Roman" w:hAnsi="Times New Roman" w:cs="Times New Roman"/>
          <w:szCs w:val="32"/>
        </w:rPr>
        <w:t>万元，主要包括：</w:t>
      </w:r>
      <w:r>
        <w:rPr>
          <w:rFonts w:hint="default" w:ascii="Times New Roman" w:hAnsi="Times New Roman" w:cs="Times New Roman"/>
          <w:kern w:val="0"/>
          <w:szCs w:val="32"/>
        </w:rPr>
        <w:t>办公费</w:t>
      </w:r>
      <w:r>
        <w:rPr>
          <w:rFonts w:hint="default" w:ascii="Times New Roman" w:hAnsi="Times New Roman" w:cs="Times New Roman"/>
          <w:szCs w:val="32"/>
        </w:rPr>
        <w:t>、</w:t>
      </w:r>
      <w:r>
        <w:rPr>
          <w:rFonts w:hint="default" w:ascii="Times New Roman" w:hAnsi="Times New Roman" w:cs="Times New Roman"/>
          <w:kern w:val="0"/>
          <w:szCs w:val="32"/>
        </w:rPr>
        <w:t>印刷费</w:t>
      </w:r>
      <w:r>
        <w:rPr>
          <w:rFonts w:hint="default" w:ascii="Times New Roman" w:hAnsi="Times New Roman" w:cs="Times New Roman"/>
          <w:szCs w:val="32"/>
        </w:rPr>
        <w:t>、</w:t>
      </w:r>
      <w:r>
        <w:rPr>
          <w:rFonts w:hint="default" w:ascii="Times New Roman" w:hAnsi="Times New Roman" w:cs="Times New Roman"/>
          <w:kern w:val="0"/>
          <w:szCs w:val="32"/>
        </w:rPr>
        <w:t>水费</w:t>
      </w:r>
      <w:r>
        <w:rPr>
          <w:rFonts w:hint="default" w:ascii="Times New Roman" w:hAnsi="Times New Roman" w:cs="Times New Roman"/>
          <w:szCs w:val="32"/>
        </w:rPr>
        <w:t>、</w:t>
      </w:r>
      <w:r>
        <w:rPr>
          <w:rFonts w:hint="default" w:ascii="Times New Roman" w:hAnsi="Times New Roman" w:cs="Times New Roman"/>
          <w:kern w:val="0"/>
          <w:szCs w:val="32"/>
        </w:rPr>
        <w:t>电费</w:t>
      </w:r>
      <w:r>
        <w:rPr>
          <w:rFonts w:hint="default" w:ascii="Times New Roman" w:hAnsi="Times New Roman" w:cs="Times New Roman"/>
          <w:szCs w:val="32"/>
        </w:rPr>
        <w:t>、</w:t>
      </w:r>
      <w:r>
        <w:rPr>
          <w:rFonts w:hint="default" w:ascii="Times New Roman" w:hAnsi="Times New Roman" w:cs="Times New Roman"/>
          <w:kern w:val="0"/>
          <w:szCs w:val="32"/>
        </w:rPr>
        <w:t>邮电费</w:t>
      </w:r>
      <w:r>
        <w:rPr>
          <w:rFonts w:hint="default" w:ascii="Times New Roman" w:hAnsi="Times New Roman" w:cs="Times New Roman"/>
          <w:szCs w:val="32"/>
        </w:rPr>
        <w:t>、</w:t>
      </w:r>
      <w:r>
        <w:rPr>
          <w:rFonts w:hint="default" w:ascii="Times New Roman" w:hAnsi="Times New Roman" w:cs="Times New Roman"/>
          <w:kern w:val="0"/>
          <w:szCs w:val="32"/>
        </w:rPr>
        <w:t>取暖费</w:t>
      </w:r>
      <w:r>
        <w:rPr>
          <w:rFonts w:hint="default" w:ascii="Times New Roman" w:hAnsi="Times New Roman" w:cs="Times New Roman"/>
          <w:szCs w:val="32"/>
        </w:rPr>
        <w:t>、</w:t>
      </w:r>
      <w:r>
        <w:rPr>
          <w:rFonts w:hint="default" w:ascii="Times New Roman" w:hAnsi="Times New Roman" w:cs="Times New Roman"/>
          <w:kern w:val="0"/>
          <w:szCs w:val="32"/>
        </w:rPr>
        <w:t>物业管理费</w:t>
      </w:r>
      <w:r>
        <w:rPr>
          <w:rFonts w:hint="default" w:ascii="Times New Roman" w:hAnsi="Times New Roman" w:cs="Times New Roman"/>
          <w:szCs w:val="32"/>
        </w:rPr>
        <w:t>、</w:t>
      </w:r>
      <w:r>
        <w:rPr>
          <w:rFonts w:hint="default" w:ascii="Times New Roman" w:hAnsi="Times New Roman" w:cs="Times New Roman"/>
          <w:kern w:val="0"/>
          <w:szCs w:val="32"/>
        </w:rPr>
        <w:t>差旅费</w:t>
      </w:r>
      <w:r>
        <w:rPr>
          <w:rFonts w:hint="default" w:ascii="Times New Roman" w:hAnsi="Times New Roman" w:cs="Times New Roman"/>
          <w:szCs w:val="32"/>
        </w:rPr>
        <w:t>、</w:t>
      </w:r>
      <w:r>
        <w:rPr>
          <w:rFonts w:hint="default" w:ascii="Times New Roman" w:hAnsi="Times New Roman" w:cs="Times New Roman"/>
          <w:kern w:val="0"/>
          <w:szCs w:val="32"/>
        </w:rPr>
        <w:t>维修（护）费</w:t>
      </w:r>
      <w:r>
        <w:rPr>
          <w:rFonts w:hint="default" w:ascii="Times New Roman" w:hAnsi="Times New Roman" w:cs="Times New Roman"/>
          <w:szCs w:val="32"/>
        </w:rPr>
        <w:t>、</w:t>
      </w:r>
      <w:r>
        <w:rPr>
          <w:rFonts w:hint="default" w:ascii="Times New Roman" w:hAnsi="Times New Roman" w:cs="Times New Roman"/>
          <w:kern w:val="0"/>
          <w:szCs w:val="32"/>
        </w:rPr>
        <w:t>会议费</w:t>
      </w:r>
      <w:r>
        <w:rPr>
          <w:rFonts w:hint="default" w:ascii="Times New Roman" w:hAnsi="Times New Roman" w:cs="Times New Roman"/>
          <w:szCs w:val="32"/>
        </w:rPr>
        <w:t>、</w:t>
      </w:r>
      <w:r>
        <w:rPr>
          <w:rFonts w:hint="default" w:ascii="Times New Roman" w:hAnsi="Times New Roman" w:cs="Times New Roman"/>
          <w:kern w:val="0"/>
          <w:szCs w:val="32"/>
        </w:rPr>
        <w:t>培训费</w:t>
      </w:r>
      <w:r>
        <w:rPr>
          <w:rFonts w:hint="default" w:ascii="Times New Roman" w:hAnsi="Times New Roman" w:cs="Times New Roman"/>
          <w:szCs w:val="32"/>
        </w:rPr>
        <w:t>、</w:t>
      </w:r>
      <w:r>
        <w:rPr>
          <w:rFonts w:hint="default" w:ascii="Times New Roman" w:hAnsi="Times New Roman" w:cs="Times New Roman"/>
          <w:kern w:val="0"/>
          <w:szCs w:val="32"/>
        </w:rPr>
        <w:t>公务接待费</w:t>
      </w:r>
      <w:r>
        <w:rPr>
          <w:rFonts w:hint="default" w:ascii="Times New Roman" w:hAnsi="Times New Roman" w:cs="Times New Roman"/>
          <w:szCs w:val="32"/>
        </w:rPr>
        <w:t>、</w:t>
      </w:r>
      <w:r>
        <w:rPr>
          <w:rFonts w:hint="default" w:ascii="Times New Roman" w:hAnsi="Times New Roman" w:cs="Times New Roman"/>
          <w:kern w:val="0"/>
          <w:szCs w:val="32"/>
        </w:rPr>
        <w:t>工会经费、福利费</w:t>
      </w:r>
      <w:r>
        <w:rPr>
          <w:rFonts w:hint="default" w:ascii="Times New Roman" w:hAnsi="Times New Roman" w:cs="Times New Roman"/>
          <w:szCs w:val="32"/>
        </w:rPr>
        <w:t>、公</w:t>
      </w:r>
      <w:r>
        <w:rPr>
          <w:rFonts w:hint="default" w:ascii="Times New Roman" w:hAnsi="Times New Roman" w:cs="Times New Roman"/>
          <w:kern w:val="0"/>
          <w:szCs w:val="32"/>
        </w:rPr>
        <w:t>务用车运行维护费</w:t>
      </w:r>
      <w:r>
        <w:rPr>
          <w:rFonts w:hint="default" w:ascii="Times New Roman" w:hAnsi="Times New Roman" w:cs="Times New Roman"/>
          <w:szCs w:val="32"/>
        </w:rPr>
        <w:t>、</w:t>
      </w:r>
      <w:r>
        <w:rPr>
          <w:rFonts w:hint="default" w:ascii="Times New Roman" w:hAnsi="Times New Roman" w:cs="Times New Roman"/>
          <w:kern w:val="0"/>
          <w:szCs w:val="32"/>
        </w:rPr>
        <w:t>其他交通补助</w:t>
      </w:r>
      <w:r>
        <w:rPr>
          <w:rFonts w:hint="default" w:ascii="Times New Roman" w:hAnsi="Times New Roman" w:cs="Times New Roman"/>
          <w:szCs w:val="32"/>
        </w:rPr>
        <w:t>、</w:t>
      </w:r>
      <w:r>
        <w:rPr>
          <w:rFonts w:hint="default" w:ascii="Times New Roman" w:hAnsi="Times New Roman" w:cs="Times New Roman"/>
          <w:kern w:val="0"/>
          <w:szCs w:val="32"/>
        </w:rPr>
        <w:t>其他商品和服务支出。</w:t>
      </w:r>
    </w:p>
    <w:p>
      <w:pPr>
        <w:rPr>
          <w:rFonts w:hint="default" w:ascii="Times New Roman" w:hAnsi="Times New Roman" w:eastAsia="黑体" w:cs="Times New Roman"/>
          <w:szCs w:val="30"/>
        </w:rPr>
      </w:pPr>
    </w:p>
    <w:p>
      <w:pPr>
        <w:ind w:firstLine="640" w:firstLineChars="200"/>
        <w:rPr>
          <w:rFonts w:hint="default" w:ascii="Times New Roman" w:hAnsi="Times New Roman" w:eastAsia="黑体" w:cs="Times New Roman"/>
          <w:szCs w:val="30"/>
        </w:rPr>
      </w:pPr>
      <w:r>
        <w:rPr>
          <w:rFonts w:hint="default" w:ascii="Times New Roman" w:hAnsi="Times New Roman" w:eastAsia="黑体" w:cs="Times New Roman"/>
          <w:szCs w:val="30"/>
        </w:rPr>
        <w:t>七、</w:t>
      </w:r>
      <w:r>
        <w:rPr>
          <w:rFonts w:hint="default" w:ascii="Times New Roman" w:hAnsi="Times New Roman" w:eastAsia="黑体" w:cs="Times New Roman"/>
          <w:szCs w:val="30"/>
          <w:lang w:eastAsia="zh-CN"/>
        </w:rPr>
        <w:t>2024年</w:t>
      </w:r>
      <w:r>
        <w:rPr>
          <w:rFonts w:hint="default" w:ascii="Times New Roman" w:hAnsi="Times New Roman" w:eastAsia="黑体" w:cs="Times New Roman"/>
          <w:szCs w:val="30"/>
        </w:rPr>
        <w:t>一般公共预算财政拨款“三公”经费情况</w:t>
      </w:r>
    </w:p>
    <w:p>
      <w:pPr>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“三公”经费预算数为</w:t>
      </w:r>
      <w:r>
        <w:rPr>
          <w:rFonts w:hint="eastAsia" w:ascii="Times New Roman" w:hAnsi="Times New Roman" w:cs="Times New Roman"/>
          <w:szCs w:val="32"/>
          <w:lang w:val="en-US" w:eastAsia="zh-CN"/>
        </w:rPr>
        <w:t>0.02</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0.02</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w:t>
      </w:r>
      <w:r>
        <w:rPr>
          <w:rFonts w:hint="default" w:ascii="Times New Roman" w:hAnsi="Times New Roman" w:cs="Times New Roman"/>
          <w:szCs w:val="32"/>
          <w:highlight w:val="none"/>
          <w:shd w:val="clear" w:color="auto" w:fill="auto"/>
        </w:rPr>
        <w:t>减少</w:t>
      </w:r>
      <w:r>
        <w:rPr>
          <w:rFonts w:hint="eastAsia" w:ascii="Times New Roman" w:hAnsi="Times New Roman" w:cs="Times New Roman"/>
          <w:szCs w:val="32"/>
          <w:highlight w:val="none"/>
          <w:shd w:val="clear" w:color="auto" w:fill="auto"/>
          <w:lang w:val="en-US" w:eastAsia="zh-CN"/>
        </w:rPr>
        <w:t>0</w:t>
      </w:r>
      <w:r>
        <w:rPr>
          <w:rFonts w:hint="default" w:ascii="Times New Roman" w:hAnsi="Times New Roman" w:cs="Times New Roman"/>
          <w:szCs w:val="32"/>
        </w:rPr>
        <w:t>万元。其中：</w:t>
      </w:r>
    </w:p>
    <w:p>
      <w:pPr>
        <w:ind w:firstLine="640" w:firstLineChars="200"/>
        <w:rPr>
          <w:rFonts w:hint="default" w:ascii="Times New Roman" w:hAnsi="Times New Roman" w:cs="Times New Roman"/>
          <w:szCs w:val="32"/>
        </w:rPr>
      </w:pPr>
      <w:r>
        <w:rPr>
          <w:rFonts w:hint="default" w:ascii="Times New Roman" w:hAnsi="Times New Roman" w:cs="Times New Roman"/>
          <w:szCs w:val="32"/>
        </w:rPr>
        <w:t>1.因公出国（境）费</w:t>
      </w:r>
      <w:r>
        <w:rPr>
          <w:rFonts w:hint="eastAsia" w:ascii="Times New Roman" w:hAnsi="Times New Roman" w:cs="Times New Roman"/>
          <w:szCs w:val="32"/>
          <w:lang w:val="en-US" w:eastAsia="zh-CN"/>
        </w:rPr>
        <w:t>0</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预算数增加</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p>
    <w:p>
      <w:pPr>
        <w:ind w:firstLine="640" w:firstLineChars="200"/>
        <w:rPr>
          <w:rFonts w:hint="eastAsia" w:ascii="Times New Roman" w:hAnsi="Times New Roman" w:cs="Times New Roman"/>
          <w:szCs w:val="32"/>
          <w:lang w:eastAsia="zh-CN"/>
        </w:rPr>
      </w:pPr>
      <w:r>
        <w:rPr>
          <w:rFonts w:hint="default" w:ascii="Times New Roman" w:hAnsi="Times New Roman" w:cs="Times New Roman"/>
          <w:szCs w:val="32"/>
        </w:rPr>
        <w:t>2.公务接待费</w:t>
      </w:r>
      <w:r>
        <w:rPr>
          <w:rFonts w:hint="eastAsia" w:ascii="Times New Roman" w:hAnsi="Times New Roman" w:cs="Times New Roman"/>
          <w:szCs w:val="32"/>
          <w:lang w:val="en-US" w:eastAsia="zh-CN"/>
        </w:rPr>
        <w:t>0.02</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0.02</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w:t>
      </w:r>
      <w:r>
        <w:rPr>
          <w:rFonts w:hint="eastAsia" w:ascii="Times New Roman" w:hAnsi="Times New Roman" w:cs="Times New Roman"/>
          <w:szCs w:val="32"/>
          <w:lang w:eastAsia="zh-CN"/>
        </w:rPr>
        <w:t>减少</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eastAsia" w:ascii="Times New Roman" w:hAnsi="Times New Roman" w:cs="Times New Roman"/>
          <w:szCs w:val="32"/>
          <w:lang w:eastAsia="zh-CN"/>
        </w:rPr>
        <w:t>。</w:t>
      </w:r>
    </w:p>
    <w:p>
      <w:pPr>
        <w:ind w:firstLine="640" w:firstLineChars="200"/>
        <w:rPr>
          <w:rFonts w:hint="default" w:ascii="Times New Roman" w:hAnsi="Times New Roman" w:cs="Times New Roman"/>
          <w:szCs w:val="32"/>
        </w:rPr>
      </w:pPr>
      <w:r>
        <w:rPr>
          <w:rFonts w:hint="default" w:ascii="Times New Roman" w:hAnsi="Times New Roman" w:cs="Times New Roman"/>
          <w:szCs w:val="32"/>
        </w:rPr>
        <w:t>3.公务用车购置及运行费</w:t>
      </w:r>
      <w:r>
        <w:rPr>
          <w:rFonts w:hint="eastAsia" w:ascii="Times New Roman" w:hAnsi="Times New Roman" w:cs="Times New Roman"/>
          <w:szCs w:val="32"/>
          <w:lang w:val="en-US" w:eastAsia="zh-CN"/>
        </w:rPr>
        <w:t>0</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预算数增加</w:t>
      </w:r>
      <w:r>
        <w:rPr>
          <w:rFonts w:hint="eastAsia" w:ascii="Times New Roman" w:hAnsi="Times New Roman" w:cs="Times New Roman"/>
          <w:szCs w:val="32"/>
          <w:lang w:val="en-US" w:eastAsia="zh-CN"/>
        </w:rPr>
        <w:t>0</w:t>
      </w:r>
      <w:r>
        <w:rPr>
          <w:rFonts w:hint="default" w:ascii="Times New Roman" w:hAnsi="Times New Roman" w:cs="Times New Roman"/>
          <w:szCs w:val="32"/>
        </w:rPr>
        <w:t>万元。公务用车运行维护费</w:t>
      </w:r>
      <w:r>
        <w:rPr>
          <w:rFonts w:hint="eastAsia" w:ascii="Times New Roman" w:hAnsi="Times New Roman" w:cs="Times New Roman"/>
          <w:szCs w:val="32"/>
          <w:lang w:val="en-US" w:eastAsia="zh-CN"/>
        </w:rPr>
        <w:t>0</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预算数增加</w:t>
      </w:r>
      <w:r>
        <w:rPr>
          <w:rFonts w:hint="eastAsia" w:ascii="Times New Roman" w:hAnsi="Times New Roman" w:cs="Times New Roman"/>
          <w:szCs w:val="32"/>
          <w:lang w:val="en-US" w:eastAsia="zh-CN"/>
        </w:rPr>
        <w:t>0</w:t>
      </w:r>
      <w:r>
        <w:rPr>
          <w:rFonts w:hint="default" w:ascii="Times New Roman" w:hAnsi="Times New Roman" w:cs="Times New Roman"/>
          <w:szCs w:val="32"/>
        </w:rPr>
        <w:t>万元；公务用车购置费</w:t>
      </w:r>
      <w:r>
        <w:rPr>
          <w:rFonts w:hint="eastAsia" w:ascii="Times New Roman" w:hAnsi="Times New Roman" w:cs="Times New Roman"/>
          <w:szCs w:val="32"/>
          <w:lang w:val="en-US" w:eastAsia="zh-CN"/>
        </w:rPr>
        <w:t>0</w:t>
      </w:r>
      <w:r>
        <w:rPr>
          <w:rFonts w:hint="default" w:ascii="Times New Roman" w:hAnsi="Times New Roman" w:cs="Times New Roman"/>
          <w:szCs w:val="32"/>
        </w:rPr>
        <w:t>万元，其中：当年预算</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r>
        <w:rPr>
          <w:rFonts w:hint="default" w:ascii="Times New Roman" w:hAnsi="Times New Roman" w:cs="Times New Roman"/>
          <w:szCs w:val="32"/>
          <w:lang w:eastAsia="zh-CN"/>
        </w:rPr>
        <w:t>2024年</w:t>
      </w:r>
      <w:r>
        <w:rPr>
          <w:rFonts w:hint="default" w:ascii="Times New Roman" w:hAnsi="Times New Roman" w:cs="Times New Roman"/>
          <w:szCs w:val="32"/>
        </w:rPr>
        <w:t>当年预算数比</w:t>
      </w:r>
      <w:r>
        <w:rPr>
          <w:rFonts w:hint="default" w:ascii="Times New Roman" w:hAnsi="Times New Roman" w:cs="Times New Roman"/>
          <w:szCs w:val="32"/>
          <w:lang w:eastAsia="zh-CN"/>
        </w:rPr>
        <w:t>2023年</w:t>
      </w:r>
      <w:r>
        <w:rPr>
          <w:rFonts w:hint="default" w:ascii="Times New Roman" w:hAnsi="Times New Roman" w:cs="Times New Roman"/>
          <w:szCs w:val="32"/>
        </w:rPr>
        <w:t>预算数</w:t>
      </w:r>
      <w:r>
        <w:rPr>
          <w:rFonts w:hint="eastAsia" w:ascii="Times New Roman" w:hAnsi="Times New Roman" w:cs="Times New Roman"/>
          <w:szCs w:val="32"/>
          <w:lang w:eastAsia="zh-CN"/>
        </w:rPr>
        <w:t>增加</w:t>
      </w:r>
      <w:r>
        <w:rPr>
          <w:rFonts w:hint="eastAsia" w:ascii="Times New Roman" w:hAnsi="Times New Roman" w:cs="Times New Roman"/>
          <w:szCs w:val="32"/>
          <w:lang w:val="en-US" w:eastAsia="zh-CN"/>
        </w:rPr>
        <w:t>0</w:t>
      </w:r>
      <w:r>
        <w:rPr>
          <w:rFonts w:hint="default" w:ascii="Times New Roman" w:hAnsi="Times New Roman" w:cs="Times New Roman"/>
          <w:szCs w:val="32"/>
        </w:rPr>
        <w:t>万元。</w:t>
      </w:r>
    </w:p>
    <w:p>
      <w:pPr>
        <w:ind w:firstLine="640" w:firstLineChars="200"/>
        <w:rPr>
          <w:rFonts w:hint="default" w:ascii="Times New Roman" w:hAnsi="Times New Roman" w:cs="Times New Roman"/>
          <w:szCs w:val="32"/>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八、</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政府性基金预算支出情况</w:t>
      </w:r>
    </w:p>
    <w:p>
      <w:pPr>
        <w:ind w:firstLine="640" w:firstLineChars="200"/>
        <w:rPr>
          <w:rFonts w:hint="eastAsia" w:ascii="Times New Roman" w:hAnsi="Times New Roman" w:cs="Times New Roman"/>
          <w:szCs w:val="32"/>
          <w:lang w:eastAsia="zh-CN"/>
        </w:rPr>
      </w:pPr>
      <w:r>
        <w:rPr>
          <w:rFonts w:hint="eastAsia" w:ascii="Times New Roman" w:hAnsi="Times New Roman" w:cs="Times New Roman"/>
          <w:szCs w:val="32"/>
          <w:lang w:eastAsia="zh-CN"/>
        </w:rPr>
        <w:t>本部门无政府性基金预算支出。</w:t>
      </w:r>
    </w:p>
    <w:p>
      <w:pPr>
        <w:ind w:firstLine="640" w:firstLineChars="200"/>
        <w:rPr>
          <w:rFonts w:hint="default" w:ascii="Times New Roman" w:hAnsi="Times New Roman" w:cs="Times New Roman"/>
          <w:szCs w:val="32"/>
          <w:lang w:eastAsia="zh-CN"/>
        </w:rPr>
      </w:pPr>
    </w:p>
    <w:p>
      <w:pPr>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九、</w:t>
      </w:r>
      <w:r>
        <w:rPr>
          <w:rFonts w:hint="default" w:ascii="Times New Roman" w:hAnsi="Times New Roman" w:eastAsia="黑体" w:cs="Times New Roman"/>
          <w:szCs w:val="32"/>
          <w:lang w:eastAsia="zh-CN"/>
        </w:rPr>
        <w:t>2024年</w:t>
      </w:r>
      <w:r>
        <w:rPr>
          <w:rFonts w:hint="default" w:ascii="Times New Roman" w:hAnsi="Times New Roman" w:eastAsia="黑体" w:cs="Times New Roman"/>
          <w:szCs w:val="32"/>
        </w:rPr>
        <w:t>国有资本经营预算支出情况</w:t>
      </w:r>
    </w:p>
    <w:p>
      <w:pPr>
        <w:ind w:firstLine="640"/>
        <w:rPr>
          <w:rFonts w:hint="default" w:ascii="Times New Roman" w:hAnsi="Times New Roman" w:eastAsia="楷体" w:cs="Times New Roman"/>
          <w:szCs w:val="32"/>
        </w:rPr>
      </w:pPr>
      <w:r>
        <w:rPr>
          <w:rFonts w:hint="default" w:ascii="Times New Roman" w:hAnsi="Times New Roman" w:cs="Times New Roman"/>
          <w:szCs w:val="32"/>
        </w:rPr>
        <w:t>本部门无国有资本经营预算拨款</w:t>
      </w:r>
      <w:r>
        <w:rPr>
          <w:rFonts w:hint="eastAsia" w:ascii="Times New Roman" w:hAnsi="Times New Roman" w:cs="Times New Roman"/>
          <w:szCs w:val="32"/>
          <w:lang w:eastAsia="zh-CN"/>
        </w:rPr>
        <w:t>。</w:t>
      </w:r>
    </w:p>
    <w:p>
      <w:pPr>
        <w:ind w:firstLine="640"/>
        <w:rPr>
          <w:rFonts w:hint="default" w:ascii="Times New Roman" w:hAnsi="Times New Roman" w:eastAsia="黑体" w:cs="Times New Roman"/>
          <w:szCs w:val="32"/>
        </w:rPr>
      </w:pPr>
    </w:p>
    <w:p>
      <w:pPr>
        <w:ind w:firstLine="640"/>
        <w:rPr>
          <w:rFonts w:hint="default" w:ascii="Times New Roman" w:hAnsi="Times New Roman" w:eastAsia="黑体" w:cs="Times New Roman"/>
          <w:szCs w:val="32"/>
        </w:rPr>
      </w:pPr>
      <w:r>
        <w:rPr>
          <w:rFonts w:hint="default" w:ascii="Times New Roman" w:hAnsi="Times New Roman" w:eastAsia="黑体" w:cs="Times New Roman"/>
          <w:szCs w:val="32"/>
        </w:rPr>
        <w:t>十、其他重要事项的说明情况</w:t>
      </w:r>
    </w:p>
    <w:p>
      <w:pPr>
        <w:spacing w:line="540" w:lineRule="exact"/>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（一）机关运行经费</w:t>
      </w:r>
    </w:p>
    <w:p>
      <w:pPr>
        <w:spacing w:line="540" w:lineRule="exact"/>
        <w:ind w:firstLine="640" w:firstLineChars="200"/>
        <w:rPr>
          <w:rFonts w:eastAsia="仿宋_GB2312"/>
          <w:sz w:val="32"/>
          <w:szCs w:val="32"/>
        </w:rPr>
      </w:pPr>
      <w:r>
        <w:rPr>
          <w:rFonts w:hint="eastAsia" w:eastAsia="仿宋_GB2312"/>
          <w:sz w:val="32"/>
          <w:szCs w:val="32"/>
          <w:lang w:eastAsia="zh-CN"/>
        </w:rPr>
        <w:t>202</w:t>
      </w:r>
      <w:r>
        <w:rPr>
          <w:rFonts w:hint="eastAsia"/>
          <w:sz w:val="32"/>
          <w:szCs w:val="32"/>
          <w:lang w:val="en-US" w:eastAsia="zh-CN"/>
        </w:rPr>
        <w:t>4</w:t>
      </w:r>
      <w:r>
        <w:rPr>
          <w:rFonts w:eastAsia="仿宋_GB2312"/>
          <w:sz w:val="32"/>
          <w:szCs w:val="32"/>
        </w:rPr>
        <w:t>年单位运行经费财政拨款预算</w:t>
      </w:r>
      <w:r>
        <w:rPr>
          <w:rFonts w:hint="eastAsia"/>
          <w:sz w:val="32"/>
          <w:szCs w:val="32"/>
          <w:lang w:val="en-US" w:eastAsia="zh-CN"/>
        </w:rPr>
        <w:t>4.50</w:t>
      </w:r>
      <w:r>
        <w:rPr>
          <w:rFonts w:eastAsia="仿宋_GB2312"/>
          <w:sz w:val="32"/>
          <w:szCs w:val="32"/>
        </w:rPr>
        <w:t>万元，比</w:t>
      </w:r>
      <w:r>
        <w:rPr>
          <w:rFonts w:hint="eastAsia" w:eastAsia="仿宋_GB2312"/>
          <w:sz w:val="32"/>
          <w:szCs w:val="32"/>
          <w:lang w:eastAsia="zh-CN"/>
        </w:rPr>
        <w:t>202</w:t>
      </w:r>
      <w:r>
        <w:rPr>
          <w:rFonts w:hint="eastAsia"/>
          <w:sz w:val="32"/>
          <w:szCs w:val="32"/>
          <w:lang w:val="en-US" w:eastAsia="zh-CN"/>
        </w:rPr>
        <w:t>3</w:t>
      </w:r>
      <w:r>
        <w:rPr>
          <w:rFonts w:eastAsia="仿宋_GB2312"/>
          <w:sz w:val="32"/>
          <w:szCs w:val="32"/>
        </w:rPr>
        <w:t>年预算</w:t>
      </w:r>
      <w:r>
        <w:rPr>
          <w:rFonts w:hint="eastAsia"/>
          <w:sz w:val="32"/>
          <w:szCs w:val="32"/>
          <w:lang w:eastAsia="zh-CN"/>
        </w:rPr>
        <w:t>增加</w:t>
      </w:r>
      <w:r>
        <w:rPr>
          <w:rFonts w:hint="eastAsia"/>
          <w:sz w:val="32"/>
          <w:szCs w:val="32"/>
          <w:lang w:val="en-US" w:eastAsia="zh-CN"/>
        </w:rPr>
        <w:t>1.17</w:t>
      </w:r>
      <w:r>
        <w:rPr>
          <w:rFonts w:eastAsia="仿宋_GB2312"/>
          <w:sz w:val="32"/>
          <w:szCs w:val="32"/>
        </w:rPr>
        <w:t>万元，</w:t>
      </w:r>
      <w:r>
        <w:rPr>
          <w:rFonts w:hint="eastAsia"/>
          <w:sz w:val="32"/>
          <w:szCs w:val="32"/>
          <w:lang w:eastAsia="zh-CN"/>
        </w:rPr>
        <w:t>增加</w:t>
      </w:r>
      <w:r>
        <w:rPr>
          <w:rFonts w:hint="eastAsia"/>
          <w:sz w:val="32"/>
          <w:szCs w:val="32"/>
          <w:lang w:val="en-US" w:eastAsia="zh-CN"/>
        </w:rPr>
        <w:t>35.14</w:t>
      </w:r>
      <w:r>
        <w:rPr>
          <w:rFonts w:eastAsia="仿宋_GB2312"/>
          <w:sz w:val="32"/>
          <w:szCs w:val="32"/>
        </w:rPr>
        <w:t>%。</w:t>
      </w:r>
      <w:r>
        <w:rPr>
          <w:rFonts w:hint="default" w:ascii="Times New Roman" w:hAnsi="Times New Roman" w:cs="Times New Roman"/>
          <w:szCs w:val="32"/>
        </w:rPr>
        <w:t>主要原因是</w:t>
      </w:r>
      <w:r>
        <w:rPr>
          <w:rFonts w:hint="eastAsia" w:ascii="Times New Roman" w:hAnsi="Times New Roman" w:cs="Times New Roman"/>
          <w:szCs w:val="32"/>
          <w:lang w:eastAsia="zh-CN"/>
        </w:rPr>
        <w:t>在职人员人数增加，机关运行成本增加</w:t>
      </w:r>
      <w:r>
        <w:rPr>
          <w:rFonts w:hint="default" w:ascii="Times New Roman" w:hAnsi="Times New Roman" w:cs="Times New Roman"/>
          <w:szCs w:val="32"/>
        </w:rPr>
        <w:t>。</w:t>
      </w:r>
    </w:p>
    <w:p>
      <w:pPr>
        <w:spacing w:line="540" w:lineRule="exact"/>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（二）政府采购情况</w:t>
      </w:r>
    </w:p>
    <w:p>
      <w:pPr>
        <w:spacing w:line="54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Cs w:val="32"/>
          <w:lang w:eastAsia="zh-CN"/>
        </w:rPr>
        <w:t>本部门无政府采购。</w:t>
      </w:r>
    </w:p>
    <w:p>
      <w:pPr>
        <w:spacing w:line="540" w:lineRule="exact"/>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（三）国有资产占有使用情况</w:t>
      </w:r>
    </w:p>
    <w:p>
      <w:pPr>
        <w:spacing w:line="54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截至</w:t>
      </w:r>
      <w:r>
        <w:rPr>
          <w:rFonts w:hint="default" w:ascii="Times New Roman" w:hAnsi="Times New Roman" w:cs="Times New Roman"/>
          <w:szCs w:val="32"/>
          <w:lang w:eastAsia="zh-CN"/>
        </w:rPr>
        <w:t>2023年</w:t>
      </w:r>
      <w:r>
        <w:rPr>
          <w:rFonts w:hint="default" w:ascii="Times New Roman" w:hAnsi="Times New Roman" w:cs="Times New Roman"/>
          <w:szCs w:val="32"/>
          <w:lang w:val="en-US" w:eastAsia="zh-CN"/>
        </w:rPr>
        <w:t>年</w:t>
      </w:r>
      <w:r>
        <w:rPr>
          <w:rFonts w:hint="default" w:ascii="Times New Roman" w:hAnsi="Times New Roman" w:cs="Times New Roman"/>
          <w:szCs w:val="32"/>
        </w:rPr>
        <w:t>底，部门本级和所属各预算单位共有车辆</w:t>
      </w:r>
      <w:r>
        <w:rPr>
          <w:rFonts w:hint="eastAsia" w:ascii="Times New Roman" w:hAnsi="Times New Roman" w:cs="Times New Roman"/>
          <w:szCs w:val="32"/>
          <w:lang w:val="en-US" w:eastAsia="zh-CN"/>
        </w:rPr>
        <w:t>0</w:t>
      </w:r>
      <w:r>
        <w:rPr>
          <w:rFonts w:hint="default" w:ascii="Times New Roman" w:hAnsi="Times New Roman" w:cs="Times New Roman"/>
          <w:szCs w:val="32"/>
        </w:rPr>
        <w:t>辆，土地</w:t>
      </w:r>
      <w:r>
        <w:rPr>
          <w:rFonts w:hint="eastAsia" w:ascii="Times New Roman" w:hAnsi="Times New Roman" w:cs="Times New Roman"/>
          <w:szCs w:val="32"/>
          <w:lang w:val="en-US" w:eastAsia="zh-CN"/>
        </w:rPr>
        <w:t>0</w:t>
      </w:r>
      <w:r>
        <w:rPr>
          <w:rFonts w:hint="default" w:ascii="Times New Roman" w:hAnsi="Times New Roman" w:cs="Times New Roman"/>
          <w:szCs w:val="32"/>
        </w:rPr>
        <w:t>平方米，房屋</w:t>
      </w:r>
      <w:r>
        <w:rPr>
          <w:rFonts w:hint="eastAsia" w:ascii="Times New Roman" w:hAnsi="Times New Roman" w:cs="Times New Roman"/>
          <w:szCs w:val="32"/>
          <w:lang w:val="en-US" w:eastAsia="zh-CN"/>
        </w:rPr>
        <w:t>0</w:t>
      </w:r>
      <w:r>
        <w:rPr>
          <w:rFonts w:hint="default" w:ascii="Times New Roman" w:hAnsi="Times New Roman" w:cs="Times New Roman"/>
          <w:szCs w:val="32"/>
        </w:rPr>
        <w:t>平方米，单价50万元及以上的通用设备</w:t>
      </w:r>
      <w:r>
        <w:rPr>
          <w:rFonts w:hint="eastAsia" w:ascii="Times New Roman" w:hAnsi="Times New Roman" w:cs="Times New Roman"/>
          <w:szCs w:val="32"/>
          <w:lang w:val="en-US" w:eastAsia="zh-CN"/>
        </w:rPr>
        <w:t>0</w:t>
      </w:r>
      <w:r>
        <w:rPr>
          <w:rFonts w:hint="default" w:ascii="Times New Roman" w:hAnsi="Times New Roman" w:cs="Times New Roman"/>
          <w:szCs w:val="32"/>
        </w:rPr>
        <w:t>台/套，单价100万元及以上的专用设备实有数</w:t>
      </w:r>
      <w:r>
        <w:rPr>
          <w:rFonts w:hint="eastAsia" w:ascii="Times New Roman" w:hAnsi="Times New Roman" w:cs="Times New Roman"/>
          <w:szCs w:val="32"/>
          <w:lang w:val="en-US" w:eastAsia="zh-CN"/>
        </w:rPr>
        <w:t>0</w:t>
      </w:r>
      <w:r>
        <w:rPr>
          <w:rFonts w:hint="default" w:ascii="Times New Roman" w:hAnsi="Times New Roman" w:cs="Times New Roman"/>
          <w:szCs w:val="32"/>
        </w:rPr>
        <w:t>台/套。</w:t>
      </w:r>
    </w:p>
    <w:p>
      <w:pPr>
        <w:spacing w:line="540" w:lineRule="exact"/>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2024年</w:t>
      </w:r>
      <w:r>
        <w:rPr>
          <w:rFonts w:hint="default" w:ascii="Times New Roman" w:hAnsi="Times New Roman" w:cs="Times New Roman"/>
          <w:szCs w:val="32"/>
        </w:rPr>
        <w:t>部门预算安排购置车辆</w:t>
      </w:r>
      <w:r>
        <w:rPr>
          <w:rFonts w:hint="eastAsia" w:ascii="Times New Roman" w:hAnsi="Times New Roman" w:cs="Times New Roman"/>
          <w:szCs w:val="32"/>
          <w:lang w:val="en-US" w:eastAsia="zh-CN"/>
        </w:rPr>
        <w:t>0</w:t>
      </w:r>
      <w:r>
        <w:rPr>
          <w:rFonts w:hint="default" w:ascii="Times New Roman" w:hAnsi="Times New Roman" w:cs="Times New Roman"/>
          <w:szCs w:val="32"/>
        </w:rPr>
        <w:t>辆，安排购置土地</w:t>
      </w:r>
      <w:r>
        <w:rPr>
          <w:rFonts w:hint="eastAsia" w:ascii="Times New Roman" w:hAnsi="Times New Roman" w:cs="Times New Roman"/>
          <w:szCs w:val="32"/>
          <w:lang w:val="en-US" w:eastAsia="zh-CN"/>
        </w:rPr>
        <w:t>0</w:t>
      </w:r>
      <w:r>
        <w:rPr>
          <w:rFonts w:hint="default" w:ascii="Times New Roman" w:hAnsi="Times New Roman" w:cs="Times New Roman"/>
          <w:szCs w:val="32"/>
        </w:rPr>
        <w:t>平方米，安排购置房屋</w:t>
      </w:r>
      <w:r>
        <w:rPr>
          <w:rFonts w:hint="eastAsia" w:ascii="Times New Roman" w:hAnsi="Times New Roman" w:cs="Times New Roman"/>
          <w:szCs w:val="32"/>
          <w:lang w:val="en-US" w:eastAsia="zh-CN"/>
        </w:rPr>
        <w:t>0</w:t>
      </w:r>
      <w:r>
        <w:rPr>
          <w:rFonts w:hint="default" w:ascii="Times New Roman" w:hAnsi="Times New Roman" w:cs="Times New Roman"/>
          <w:szCs w:val="32"/>
        </w:rPr>
        <w:t>平方米，计划新增单价50万元及以上的通用设备</w:t>
      </w:r>
      <w:r>
        <w:rPr>
          <w:rFonts w:hint="eastAsia" w:ascii="Times New Roman" w:hAnsi="Times New Roman" w:cs="Times New Roman"/>
          <w:szCs w:val="32"/>
          <w:lang w:val="en-US" w:eastAsia="zh-CN"/>
        </w:rPr>
        <w:t>0</w:t>
      </w:r>
      <w:r>
        <w:rPr>
          <w:rFonts w:hint="default" w:ascii="Times New Roman" w:hAnsi="Times New Roman" w:cs="Times New Roman"/>
          <w:szCs w:val="32"/>
        </w:rPr>
        <w:t>台/套，计划新增单价100万元及以上的专用设备实有数</w:t>
      </w:r>
      <w:r>
        <w:rPr>
          <w:rFonts w:hint="eastAsia" w:ascii="Times New Roman" w:hAnsi="Times New Roman" w:cs="Times New Roman"/>
          <w:szCs w:val="32"/>
          <w:lang w:val="en-US" w:eastAsia="zh-CN"/>
        </w:rPr>
        <w:t>0</w:t>
      </w:r>
      <w:r>
        <w:rPr>
          <w:rFonts w:hint="default" w:ascii="Times New Roman" w:hAnsi="Times New Roman" w:cs="Times New Roman"/>
          <w:szCs w:val="32"/>
        </w:rPr>
        <w:t>台/套。</w:t>
      </w:r>
    </w:p>
    <w:p>
      <w:pPr>
        <w:numPr>
          <w:ilvl w:val="0"/>
          <w:numId w:val="3"/>
        </w:numPr>
        <w:spacing w:line="540" w:lineRule="exact"/>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项目支出情况说明</w:t>
      </w:r>
    </w:p>
    <w:p>
      <w:pPr>
        <w:spacing w:line="540" w:lineRule="exact"/>
        <w:ind w:firstLine="640" w:firstLineChars="200"/>
        <w:rPr>
          <w:rFonts w:hint="eastAsia" w:ascii="Times New Roman" w:hAnsi="Times New Roman" w:cs="Times New Roman"/>
          <w:szCs w:val="32"/>
          <w:lang w:eastAsia="zh-CN"/>
        </w:rPr>
      </w:pPr>
      <w:r>
        <w:rPr>
          <w:rFonts w:hint="eastAsia" w:ascii="Times New Roman" w:hAnsi="Times New Roman" w:cs="Times New Roman"/>
          <w:szCs w:val="32"/>
          <w:lang w:eastAsia="zh-CN"/>
        </w:rPr>
        <w:t>本部门无项目支出。</w:t>
      </w:r>
    </w:p>
    <w:p>
      <w:pPr>
        <w:spacing w:line="540" w:lineRule="exact"/>
        <w:ind w:firstLine="640" w:firstLineChars="200"/>
        <w:rPr>
          <w:rFonts w:hint="default" w:ascii="Times New Roman" w:hAnsi="Times New Roman" w:eastAsia="楷体" w:cs="Times New Roman"/>
          <w:szCs w:val="32"/>
        </w:rPr>
      </w:pPr>
      <w:r>
        <w:rPr>
          <w:rFonts w:hint="default" w:ascii="Times New Roman" w:hAnsi="Times New Roman" w:eastAsia="楷体" w:cs="Times New Roman"/>
          <w:szCs w:val="32"/>
        </w:rPr>
        <w:t>（五）项目支出绩效目标情况说明</w:t>
      </w:r>
    </w:p>
    <w:p>
      <w:pPr>
        <w:ind w:firstLine="645"/>
        <w:rPr>
          <w:rFonts w:hint="eastAsia" w:ascii="Times New Roman" w:hAnsi="Times New Roman" w:eastAsia="楷体" w:cs="Times New Roman"/>
          <w:szCs w:val="32"/>
          <w:lang w:eastAsia="zh-CN"/>
        </w:rPr>
      </w:pPr>
      <w:r>
        <w:rPr>
          <w:rFonts w:hint="eastAsia" w:ascii="Times New Roman" w:hAnsi="Times New Roman" w:cs="Times New Roman"/>
          <w:szCs w:val="22"/>
          <w:lang w:eastAsia="zh-CN"/>
        </w:rPr>
        <w:t>本部门无项目支出绩效目标说明。</w:t>
      </w:r>
    </w:p>
    <w:p>
      <w:pPr>
        <w:spacing w:line="540" w:lineRule="exact"/>
        <w:rPr>
          <w:rFonts w:hint="default" w:ascii="Times New Roman" w:hAnsi="Times New Roman" w:eastAsia="楷体" w:cs="Times New Roman"/>
          <w:szCs w:val="32"/>
        </w:rPr>
      </w:pPr>
    </w:p>
    <w:p>
      <w:pPr>
        <w:spacing w:line="540" w:lineRule="exact"/>
        <w:rPr>
          <w:rFonts w:hint="default" w:ascii="Times New Roman" w:hAnsi="Times New Roman" w:eastAsia="楷体" w:cs="Times New Roman"/>
          <w:szCs w:val="32"/>
        </w:rPr>
      </w:pPr>
    </w:p>
    <w:p>
      <w:pPr>
        <w:spacing w:line="540" w:lineRule="exact"/>
        <w:rPr>
          <w:rFonts w:hint="default" w:ascii="Times New Roman" w:hAnsi="Times New Roman" w:eastAsia="楷体" w:cs="Times New Roman"/>
          <w:szCs w:val="32"/>
        </w:rPr>
      </w:pPr>
    </w:p>
    <w:p>
      <w:pPr>
        <w:ind w:firstLine="640" w:firstLineChars="200"/>
        <w:rPr>
          <w:rFonts w:hint="default" w:ascii="Times New Roman" w:hAnsi="Times New Roman" w:cs="Times New Roman"/>
          <w:szCs w:val="32"/>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p>
    <w:p>
      <w:pPr>
        <w:ind w:firstLine="640" w:firstLineChars="200"/>
        <w:jc w:val="center"/>
        <w:rPr>
          <w:rFonts w:hint="default" w:ascii="Times New Roman" w:hAnsi="Times New Roman" w:eastAsia="黑体" w:cs="Times New Roman"/>
        </w:rPr>
      </w:pPr>
      <w:r>
        <w:rPr>
          <w:rFonts w:hint="default" w:ascii="Times New Roman" w:hAnsi="Times New Roman" w:eastAsia="黑体" w:cs="Times New Roman"/>
        </w:rPr>
        <w:t>第四部分 名词解释</w:t>
      </w:r>
    </w:p>
    <w:p>
      <w:pPr>
        <w:ind w:firstLine="640" w:firstLineChars="200"/>
        <w:rPr>
          <w:rFonts w:hint="default" w:ascii="Times New Roman" w:hAnsi="Times New Roman" w:eastAsia="楷体" w:cs="Times New Roman"/>
          <w:szCs w:val="32"/>
        </w:rPr>
      </w:pPr>
    </w:p>
    <w:p>
      <w:pPr>
        <w:ind w:firstLine="640" w:firstLineChars="200"/>
        <w:rPr>
          <w:rFonts w:hint="default" w:ascii="Times New Roman" w:hAnsi="Times New Roman" w:cs="Times New Roman"/>
          <w:szCs w:val="32"/>
        </w:rPr>
      </w:pPr>
      <w:r>
        <w:rPr>
          <w:rFonts w:hint="default" w:ascii="Times New Roman" w:hAnsi="Times New Roman" w:eastAsia="楷体" w:cs="Times New Roman"/>
          <w:szCs w:val="32"/>
        </w:rPr>
        <w:t>（一）一般公共预算拨款收入：</w:t>
      </w:r>
      <w:r>
        <w:rPr>
          <w:rFonts w:hint="default" w:ascii="Times New Roman" w:hAnsi="Times New Roman" w:cs="Times New Roman"/>
          <w:szCs w:val="32"/>
        </w:rPr>
        <w:t>指市级财政通过当年一般公共预算拨付的资金。</w:t>
      </w:r>
    </w:p>
    <w:p>
      <w:pPr>
        <w:ind w:firstLine="640" w:firstLineChars="200"/>
        <w:rPr>
          <w:rFonts w:hint="default" w:ascii="Times New Roman" w:hAnsi="Times New Roman" w:cs="Times New Roman"/>
          <w:szCs w:val="32"/>
        </w:rPr>
      </w:pPr>
      <w:r>
        <w:rPr>
          <w:rFonts w:hint="default" w:ascii="Times New Roman" w:hAnsi="Times New Roman" w:eastAsia="楷体" w:cs="Times New Roman"/>
          <w:szCs w:val="32"/>
        </w:rPr>
        <w:t>（二）政府性基金预算拨款收入：</w:t>
      </w:r>
      <w:r>
        <w:rPr>
          <w:rFonts w:hint="default" w:ascii="Times New Roman" w:hAnsi="Times New Roman" w:cs="Times New Roman"/>
          <w:szCs w:val="32"/>
        </w:rPr>
        <w:t>指市级财政通过当年政府性基金预算拨付的资金。</w:t>
      </w:r>
    </w:p>
    <w:p>
      <w:pPr>
        <w:ind w:firstLine="640" w:firstLineChars="200"/>
        <w:rPr>
          <w:rFonts w:hint="default" w:ascii="Times New Roman" w:hAnsi="Times New Roman" w:cs="Times New Roman"/>
          <w:szCs w:val="32"/>
        </w:rPr>
      </w:pPr>
      <w:r>
        <w:rPr>
          <w:rFonts w:hint="default" w:ascii="Times New Roman" w:hAnsi="Times New Roman" w:eastAsia="楷体" w:cs="Times New Roman"/>
          <w:szCs w:val="32"/>
        </w:rPr>
        <w:t>（三）国有资本经营预算拨款收入：</w:t>
      </w:r>
      <w:r>
        <w:rPr>
          <w:rFonts w:hint="default" w:ascii="Times New Roman" w:hAnsi="Times New Roman" w:cs="Times New Roman"/>
          <w:szCs w:val="32"/>
        </w:rPr>
        <w:t>指市级财政通过当年国有资本经营预算拨付的资金。</w:t>
      </w:r>
    </w:p>
    <w:p>
      <w:pPr>
        <w:ind w:firstLine="640"/>
        <w:rPr>
          <w:rFonts w:hint="default" w:ascii="Times New Roman" w:hAnsi="Times New Roman" w:cs="Times New Roman"/>
          <w:szCs w:val="32"/>
        </w:rPr>
      </w:pPr>
      <w:r>
        <w:rPr>
          <w:rFonts w:hint="default" w:ascii="Times New Roman" w:hAnsi="Times New Roman" w:eastAsia="楷体" w:cs="Times New Roman"/>
          <w:szCs w:val="32"/>
        </w:rPr>
        <w:t>（四）财政专户管理资金收入：</w:t>
      </w:r>
      <w:r>
        <w:rPr>
          <w:rFonts w:hint="default" w:ascii="Times New Roman" w:hAnsi="Times New Roman" w:cs="Times New Roman"/>
          <w:szCs w:val="32"/>
        </w:rPr>
        <w:t>指未纳入预算并实行财政专户管理的资金收入。</w:t>
      </w:r>
    </w:p>
    <w:p>
      <w:pPr>
        <w:ind w:firstLine="640"/>
        <w:rPr>
          <w:rFonts w:hint="default" w:ascii="Times New Roman" w:hAnsi="Times New Roman" w:cs="Times New Roman"/>
          <w:szCs w:val="32"/>
        </w:rPr>
      </w:pPr>
      <w:r>
        <w:rPr>
          <w:rFonts w:hint="default" w:ascii="Times New Roman" w:hAnsi="Times New Roman" w:eastAsia="楷体" w:cs="Times New Roman"/>
          <w:szCs w:val="32"/>
        </w:rPr>
        <w:t>（五）事业收入：</w:t>
      </w:r>
      <w:r>
        <w:rPr>
          <w:rFonts w:hint="default" w:ascii="Times New Roman" w:hAnsi="Times New Roman" w:cs="Times New Roman"/>
          <w:szCs w:val="32"/>
        </w:rPr>
        <w:t>指事业单位开展专业业务活动及辅助活动所取得的收入。</w:t>
      </w:r>
    </w:p>
    <w:p>
      <w:pPr>
        <w:ind w:firstLine="640"/>
        <w:rPr>
          <w:rFonts w:hint="default" w:ascii="Times New Roman" w:hAnsi="Times New Roman" w:cs="Times New Roman"/>
          <w:szCs w:val="32"/>
        </w:rPr>
      </w:pPr>
      <w:r>
        <w:rPr>
          <w:rFonts w:hint="default" w:ascii="Times New Roman" w:hAnsi="Times New Roman" w:eastAsia="楷体" w:cs="Times New Roman"/>
          <w:szCs w:val="32"/>
        </w:rPr>
        <w:t>（六）上级补助收入：</w:t>
      </w:r>
      <w:r>
        <w:rPr>
          <w:rFonts w:hint="default" w:ascii="Times New Roman" w:hAnsi="Times New Roman" w:cs="Times New Roman"/>
          <w:szCs w:val="32"/>
        </w:rPr>
        <w:t>指预算单位从主管部门或上级单位取得的非财政拨款补助收入。</w:t>
      </w:r>
    </w:p>
    <w:p>
      <w:pPr>
        <w:ind w:firstLine="640"/>
        <w:rPr>
          <w:rFonts w:hint="default" w:ascii="Times New Roman" w:hAnsi="Times New Roman" w:cs="Times New Roman"/>
          <w:szCs w:val="32"/>
        </w:rPr>
      </w:pPr>
      <w:r>
        <w:rPr>
          <w:rFonts w:hint="default" w:ascii="Times New Roman" w:hAnsi="Times New Roman" w:eastAsia="楷体" w:cs="Times New Roman"/>
          <w:szCs w:val="32"/>
        </w:rPr>
        <w:t>（七）附属单位上缴收入：</w:t>
      </w:r>
      <w:r>
        <w:rPr>
          <w:rFonts w:hint="default" w:ascii="Times New Roman" w:hAnsi="Times New Roman" w:cs="Times New Roman"/>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ind w:firstLine="640"/>
        <w:rPr>
          <w:rFonts w:hint="default" w:ascii="Times New Roman" w:hAnsi="Times New Roman" w:cs="Times New Roman"/>
          <w:szCs w:val="32"/>
        </w:rPr>
      </w:pPr>
      <w:r>
        <w:rPr>
          <w:rFonts w:hint="default" w:ascii="Times New Roman" w:hAnsi="Times New Roman" w:eastAsia="楷体" w:cs="Times New Roman"/>
          <w:szCs w:val="32"/>
        </w:rPr>
        <w:t>（八）事业单位经营收入：</w:t>
      </w:r>
      <w:r>
        <w:rPr>
          <w:rFonts w:hint="default" w:ascii="Times New Roman" w:hAnsi="Times New Roman" w:cs="Times New Roman"/>
          <w:szCs w:val="32"/>
        </w:rPr>
        <w:t>指事业单位在专业业务活动及其辅助活动之外开展非独立核算经营活动取得的收入。</w:t>
      </w:r>
    </w:p>
    <w:p>
      <w:pPr>
        <w:ind w:firstLine="640"/>
        <w:rPr>
          <w:rFonts w:hint="default" w:ascii="Times New Roman" w:hAnsi="Times New Roman" w:eastAsia="仿宋" w:cs="Times New Roman"/>
          <w:szCs w:val="32"/>
        </w:rPr>
      </w:pPr>
      <w:r>
        <w:rPr>
          <w:rFonts w:hint="default" w:ascii="Times New Roman" w:hAnsi="Times New Roman" w:eastAsia="楷体" w:cs="Times New Roman"/>
          <w:szCs w:val="32"/>
        </w:rPr>
        <w:t>（九）其他收入：</w:t>
      </w:r>
      <w:r>
        <w:rPr>
          <w:rFonts w:hint="default" w:ascii="Times New Roman" w:hAnsi="Times New Roman" w:cs="Times New Roman"/>
          <w:szCs w:val="32"/>
        </w:rPr>
        <w:t>指除上述“一般公共预算拨款收入”、“政府性基金预算拨款收入”、“事业收入”、“事业单位经营收入”等以外的收入。</w:t>
      </w:r>
    </w:p>
    <w:p>
      <w:pPr>
        <w:ind w:firstLine="640"/>
        <w:rPr>
          <w:rFonts w:hint="default" w:ascii="Times New Roman" w:hAnsi="Times New Roman" w:cs="Times New Roman"/>
          <w:szCs w:val="32"/>
        </w:rPr>
      </w:pPr>
      <w:r>
        <w:rPr>
          <w:rFonts w:hint="default" w:ascii="Times New Roman" w:hAnsi="Times New Roman" w:eastAsia="楷体" w:cs="Times New Roman"/>
          <w:szCs w:val="32"/>
        </w:rPr>
        <w:t>（十）用事业基金弥补收支差额：</w:t>
      </w:r>
      <w:r>
        <w:rPr>
          <w:rFonts w:hint="default" w:ascii="Times New Roman" w:hAnsi="Times New Roman" w:cs="Times New Roman"/>
          <w:szCs w:val="32"/>
        </w:rPr>
        <w:t>指事业单位在预计当年的“一般公共预算拨款收入”、“政府性基金预算拨款收入”、“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（十一）上年结转：</w:t>
      </w:r>
      <w:r>
        <w:rPr>
          <w:rFonts w:hint="default" w:ascii="Times New Roman" w:hAnsi="Times New Roman" w:cs="Times New Roman"/>
          <w:szCs w:val="32"/>
        </w:rPr>
        <w:t>指以前年度尚未完成、结转到本年仍按原规定用途继续使用的资金。</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（十二）结转下年：</w:t>
      </w:r>
      <w:r>
        <w:rPr>
          <w:rFonts w:hint="default" w:ascii="Times New Roman" w:hAnsi="Times New Roman" w:cs="Times New Roman"/>
          <w:szCs w:val="32"/>
        </w:rPr>
        <w:t>指以前年度预算安排、因客观条件发生变化无法按原计划实施，需延迟到以后年度按原规定用途继续使用的资金。</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（十三）基本支出：</w:t>
      </w:r>
      <w:r>
        <w:rPr>
          <w:rFonts w:hint="default" w:ascii="Times New Roman" w:hAnsi="Times New Roman" w:cs="Times New Roman"/>
          <w:szCs w:val="32"/>
        </w:rPr>
        <w:t>指为保障机构正常运转、完成日常工作任务而发生的人员支出和公用支出。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（十四）项目支出：</w:t>
      </w:r>
      <w:r>
        <w:rPr>
          <w:rFonts w:hint="default" w:ascii="Times New Roman" w:hAnsi="Times New Roman" w:cs="Times New Roman"/>
          <w:szCs w:val="32"/>
        </w:rPr>
        <w:t>指在基本支出之外为完成特定行政任务和事业发展目标所发生的支出。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（十五）上缴上级支出：</w:t>
      </w:r>
      <w:r>
        <w:rPr>
          <w:rFonts w:hint="default" w:ascii="Times New Roman" w:hAnsi="Times New Roman" w:cs="Times New Roman"/>
          <w:szCs w:val="32"/>
        </w:rPr>
        <w:t>指附属单位上缴上级的支出。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（十六）事业单位经营支出：</w:t>
      </w:r>
      <w:r>
        <w:rPr>
          <w:rFonts w:hint="default" w:ascii="Times New Roman" w:hAnsi="Times New Roman" w:cs="Times New Roman"/>
          <w:szCs w:val="32"/>
        </w:rPr>
        <w:t>指事业单位在专业业务活动及其辅助活动之外开展非独立核算经营活动发生的支出。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（十七）对附属单位补助支出：</w:t>
      </w:r>
      <w:r>
        <w:rPr>
          <w:rFonts w:hint="default" w:ascii="Times New Roman" w:hAnsi="Times New Roman" w:cs="Times New Roman"/>
          <w:szCs w:val="32"/>
        </w:rPr>
        <w:t>指对附属单位补助发生的支出。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（十八）“三公”经费：</w:t>
      </w:r>
      <w:r>
        <w:rPr>
          <w:rFonts w:hint="default" w:ascii="Times New Roman" w:hAnsi="Times New Roman" w:cs="Times New Roman"/>
          <w:szCs w:val="32"/>
        </w:rPr>
        <w:t>纳入财政预决算管理的“三公”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rFonts w:hint="default" w:ascii="Times New Roman" w:hAnsi="Times New Roman" w:cs="Times New Roman"/>
          <w:szCs w:val="32"/>
        </w:rPr>
      </w:pPr>
      <w:r>
        <w:rPr>
          <w:rFonts w:hint="default" w:ascii="Times New Roman" w:hAnsi="Times New Roman" w:eastAsia="楷体" w:cs="Times New Roman"/>
          <w:szCs w:val="32"/>
        </w:rPr>
        <w:t>（十九）机关运行经费：</w:t>
      </w:r>
      <w:r>
        <w:rPr>
          <w:rFonts w:hint="default" w:ascii="Times New Roman" w:hAnsi="Times New Roman" w:cs="Times New Roman"/>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default" w:ascii="Times New Roman" w:hAnsi="Times New Roman" w:cs="Times New Roman"/>
        </w:rPr>
      </w:pPr>
      <w:r>
        <w:rPr>
          <w:rFonts w:hint="default" w:ascii="Times New Roman" w:hAnsi="Times New Roman" w:eastAsia="楷体" w:cs="Times New Roman"/>
          <w:szCs w:val="32"/>
        </w:rPr>
        <w:t>（二十）项目支出绩效目标：</w:t>
      </w:r>
      <w:r>
        <w:rPr>
          <w:rFonts w:hint="default" w:ascii="Times New Roman" w:hAnsi="Times New Roman" w:cs="Times New Roman"/>
        </w:rPr>
        <w:t>项目支出绩效目标是指部门预算安排的项目支出在一定期限内预期达到的产出和效果。</w:t>
      </w: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tbl>
      <w:tblPr>
        <w:tblStyle w:val="10"/>
        <w:tblpPr w:leftFromText="180" w:rightFromText="180" w:vertAnchor="text" w:tblpX="90" w:tblpY="3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86"/>
        <w:gridCol w:w="795"/>
        <w:gridCol w:w="945"/>
        <w:gridCol w:w="690"/>
        <w:gridCol w:w="946"/>
        <w:gridCol w:w="1063"/>
        <w:gridCol w:w="103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80" w:type="dxa"/>
            <w:gridSpan w:val="9"/>
            <w:tcBorders>
              <w:top w:val="nil"/>
              <w:left w:val="nil"/>
              <w:bottom w:val="nil"/>
              <w:right w:val="nil"/>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eastAsia="方正小标宋简体"/>
                <w:kern w:val="0"/>
                <w:sz w:val="44"/>
                <w:szCs w:val="44"/>
                <w:lang w:eastAsia="zh-CN"/>
              </w:rPr>
              <w:t>财政拨款委托业务费支出预算表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80" w:type="dxa"/>
            <w:gridSpan w:val="9"/>
            <w:tcBorders>
              <w:top w:val="nil"/>
              <w:left w:val="nil"/>
              <w:bottom w:val="single" w:color="auto" w:sz="4" w:space="0"/>
              <w:right w:val="nil"/>
            </w:tcBorders>
            <w:noWrap w:val="0"/>
            <w:vAlign w:val="bottom"/>
          </w:tcPr>
          <w:p>
            <w:pPr>
              <w:spacing w:line="240" w:lineRule="auto"/>
              <w:jc w:val="right"/>
              <w:rPr>
                <w:rFonts w:hint="eastAsia" w:ascii="华文细黑" w:hAnsi="华文细黑" w:eastAsia="华文细黑" w:cs="华文细黑"/>
                <w:kern w:val="0"/>
                <w:sz w:val="20"/>
                <w:szCs w:val="20"/>
                <w:vertAlign w:val="baseline"/>
                <w:lang w:eastAsia="zh-CN"/>
              </w:rPr>
            </w:pPr>
            <w:r>
              <w:rPr>
                <w:rFonts w:eastAsia="华文细黑"/>
                <w:color w:val="000000"/>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16" w:type="dxa"/>
            <w:vMerge w:val="restart"/>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color w:val="000000"/>
                <w:sz w:val="20"/>
                <w:szCs w:val="20"/>
                <w:lang w:val="en-US" w:eastAsia="zh-CN"/>
              </w:rPr>
            </w:pPr>
            <w:r>
              <w:rPr>
                <w:rFonts w:hint="eastAsia" w:ascii="华文细黑" w:hAnsi="华文细黑" w:eastAsia="华文细黑" w:cs="华文细黑"/>
                <w:color w:val="000000"/>
                <w:sz w:val="20"/>
                <w:szCs w:val="20"/>
                <w:lang w:eastAsia="zh-CN"/>
              </w:rPr>
              <w:t>部门</w:t>
            </w:r>
            <w:r>
              <w:rPr>
                <w:rFonts w:hint="eastAsia" w:ascii="华文细黑" w:hAnsi="华文细黑" w:eastAsia="华文细黑" w:cs="华文细黑"/>
                <w:color w:val="000000"/>
                <w:sz w:val="20"/>
                <w:szCs w:val="20"/>
                <w:lang w:val="en-US" w:eastAsia="zh-CN"/>
              </w:rPr>
              <w:t>/单位/</w:t>
            </w:r>
          </w:p>
          <w:p>
            <w:pPr>
              <w:spacing w:line="240" w:lineRule="auto"/>
              <w:jc w:val="center"/>
              <w:rPr>
                <w:rFonts w:hint="eastAsia" w:ascii="华文细黑" w:hAnsi="华文细黑" w:eastAsia="华文细黑" w:cs="华文细黑"/>
                <w:kern w:val="0"/>
                <w:sz w:val="20"/>
                <w:szCs w:val="20"/>
                <w:vertAlign w:val="baseline"/>
              </w:rPr>
            </w:pPr>
            <w:r>
              <w:rPr>
                <w:rFonts w:hint="eastAsia" w:ascii="华文细黑" w:hAnsi="华文细黑" w:eastAsia="华文细黑" w:cs="华文细黑"/>
                <w:color w:val="000000"/>
                <w:sz w:val="20"/>
                <w:szCs w:val="20"/>
                <w:lang w:val="en-US" w:eastAsia="zh-CN"/>
              </w:rPr>
              <w:t>项目名称</w:t>
            </w:r>
          </w:p>
        </w:tc>
        <w:tc>
          <w:tcPr>
            <w:tcW w:w="686" w:type="dxa"/>
            <w:vMerge w:val="restart"/>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rPr>
            </w:pPr>
            <w:r>
              <w:rPr>
                <w:rFonts w:hint="eastAsia" w:ascii="华文细黑" w:hAnsi="华文细黑" w:eastAsia="华文细黑" w:cs="华文细黑"/>
                <w:color w:val="000000"/>
                <w:sz w:val="20"/>
                <w:szCs w:val="20"/>
                <w:lang w:eastAsia="zh-CN"/>
              </w:rPr>
              <w:t>委托事</w:t>
            </w:r>
            <w:r>
              <w:rPr>
                <w:rFonts w:hint="eastAsia" w:ascii="华文细黑" w:hAnsi="华文细黑" w:eastAsia="华文细黑" w:cs="华文细黑"/>
                <w:color w:val="000000"/>
                <w:sz w:val="20"/>
                <w:szCs w:val="20"/>
                <w:lang w:val="en-US" w:eastAsia="zh-CN"/>
              </w:rPr>
              <w:t xml:space="preserve">    </w:t>
            </w:r>
            <w:r>
              <w:rPr>
                <w:rFonts w:hint="eastAsia" w:ascii="华文细黑" w:hAnsi="华文细黑" w:eastAsia="华文细黑" w:cs="华文细黑"/>
                <w:color w:val="000000"/>
                <w:sz w:val="20"/>
                <w:szCs w:val="20"/>
                <w:lang w:eastAsia="zh-CN"/>
              </w:rPr>
              <w:t>项内容</w:t>
            </w:r>
          </w:p>
        </w:tc>
        <w:tc>
          <w:tcPr>
            <w:tcW w:w="3376" w:type="dxa"/>
            <w:gridSpan w:val="4"/>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rPr>
            </w:pPr>
            <w:r>
              <w:rPr>
                <w:rFonts w:hint="eastAsia" w:ascii="华文细黑" w:hAnsi="华文细黑" w:eastAsia="华文细黑" w:cs="华文细黑"/>
                <w:kern w:val="0"/>
                <w:sz w:val="20"/>
                <w:szCs w:val="20"/>
                <w:vertAlign w:val="baseline"/>
                <w:lang w:eastAsia="zh-CN"/>
              </w:rPr>
              <w:t>财政拨款收入</w:t>
            </w:r>
          </w:p>
        </w:tc>
        <w:tc>
          <w:tcPr>
            <w:tcW w:w="1063" w:type="dxa"/>
            <w:vMerge w:val="restart"/>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是否政府购买服务</w:t>
            </w:r>
            <w:r>
              <w:rPr>
                <w:rFonts w:hint="eastAsia" w:ascii="华文细黑" w:hAnsi="华文细黑" w:eastAsia="华文细黑" w:cs="华文细黑"/>
                <w:kern w:val="0"/>
                <w:sz w:val="20"/>
                <w:szCs w:val="20"/>
                <w:vertAlign w:val="baseline"/>
                <w:lang w:val="en-US" w:eastAsia="zh-CN"/>
              </w:rPr>
              <w:t xml:space="preserve">  </w:t>
            </w:r>
            <w:r>
              <w:rPr>
                <w:rFonts w:hint="eastAsia" w:ascii="华文细黑" w:hAnsi="华文细黑" w:eastAsia="华文细黑" w:cs="华文细黑"/>
                <w:kern w:val="0"/>
                <w:sz w:val="20"/>
                <w:szCs w:val="20"/>
                <w:vertAlign w:val="baseline"/>
                <w:lang w:eastAsia="zh-CN"/>
              </w:rPr>
              <w:t>（是</w:t>
            </w:r>
            <w:r>
              <w:rPr>
                <w:rFonts w:hint="eastAsia" w:ascii="华文细黑" w:hAnsi="华文细黑" w:eastAsia="华文细黑" w:cs="华文细黑"/>
                <w:kern w:val="0"/>
                <w:sz w:val="20"/>
                <w:szCs w:val="20"/>
                <w:vertAlign w:val="baseline"/>
                <w:lang w:val="en-US" w:eastAsia="zh-CN"/>
              </w:rPr>
              <w:t>/否</w:t>
            </w:r>
            <w:r>
              <w:rPr>
                <w:rFonts w:hint="eastAsia" w:ascii="华文细黑" w:hAnsi="华文细黑" w:eastAsia="华文细黑" w:cs="华文细黑"/>
                <w:kern w:val="0"/>
                <w:sz w:val="20"/>
                <w:szCs w:val="20"/>
                <w:vertAlign w:val="baseline"/>
                <w:lang w:eastAsia="zh-CN"/>
              </w:rPr>
              <w:t>）</w:t>
            </w:r>
          </w:p>
        </w:tc>
        <w:tc>
          <w:tcPr>
            <w:tcW w:w="1036" w:type="dxa"/>
            <w:vMerge w:val="restart"/>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是否政</w:t>
            </w:r>
            <w:r>
              <w:rPr>
                <w:rFonts w:hint="eastAsia" w:ascii="华文细黑" w:hAnsi="华文细黑" w:eastAsia="华文细黑" w:cs="华文细黑"/>
                <w:kern w:val="0"/>
                <w:sz w:val="20"/>
                <w:szCs w:val="20"/>
                <w:vertAlign w:val="baseline"/>
                <w:lang w:val="en-US" w:eastAsia="zh-CN"/>
              </w:rPr>
              <w:t xml:space="preserve">  </w:t>
            </w:r>
            <w:r>
              <w:rPr>
                <w:rFonts w:hint="eastAsia" w:ascii="华文细黑" w:hAnsi="华文细黑" w:eastAsia="华文细黑" w:cs="华文细黑"/>
                <w:kern w:val="0"/>
                <w:sz w:val="20"/>
                <w:szCs w:val="20"/>
                <w:vertAlign w:val="baseline"/>
                <w:lang w:eastAsia="zh-CN"/>
              </w:rPr>
              <w:t>府采购</w:t>
            </w:r>
            <w:r>
              <w:rPr>
                <w:rFonts w:hint="eastAsia" w:ascii="华文细黑" w:hAnsi="华文细黑" w:eastAsia="华文细黑" w:cs="华文细黑"/>
                <w:kern w:val="0"/>
                <w:sz w:val="20"/>
                <w:szCs w:val="20"/>
                <w:vertAlign w:val="baseline"/>
                <w:lang w:val="en-US" w:eastAsia="zh-CN"/>
              </w:rPr>
              <w:t xml:space="preserve">  </w:t>
            </w:r>
            <w:r>
              <w:rPr>
                <w:rFonts w:hint="eastAsia" w:ascii="华文细黑" w:hAnsi="华文细黑" w:eastAsia="华文细黑" w:cs="华文细黑"/>
                <w:kern w:val="0"/>
                <w:sz w:val="20"/>
                <w:szCs w:val="20"/>
                <w:vertAlign w:val="baseline"/>
                <w:lang w:eastAsia="zh-CN"/>
              </w:rPr>
              <w:t>（是</w:t>
            </w:r>
            <w:r>
              <w:rPr>
                <w:rFonts w:hint="eastAsia" w:ascii="华文细黑" w:hAnsi="华文细黑" w:eastAsia="华文细黑" w:cs="华文细黑"/>
                <w:kern w:val="0"/>
                <w:sz w:val="20"/>
                <w:szCs w:val="20"/>
                <w:vertAlign w:val="baseline"/>
                <w:lang w:val="en-US" w:eastAsia="zh-CN"/>
              </w:rPr>
              <w:t>/否</w:t>
            </w:r>
            <w:r>
              <w:rPr>
                <w:rFonts w:hint="eastAsia" w:ascii="华文细黑" w:hAnsi="华文细黑" w:eastAsia="华文细黑" w:cs="华文细黑"/>
                <w:kern w:val="0"/>
                <w:sz w:val="20"/>
                <w:szCs w:val="20"/>
                <w:vertAlign w:val="baseline"/>
                <w:lang w:eastAsia="zh-CN"/>
              </w:rPr>
              <w:t>）</w:t>
            </w:r>
          </w:p>
        </w:tc>
        <w:tc>
          <w:tcPr>
            <w:tcW w:w="803" w:type="dxa"/>
            <w:vMerge w:val="restart"/>
            <w:tcBorders>
              <w:top w:val="single" w:color="auto" w:sz="4" w:space="0"/>
              <w:bottom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特殊情况说明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1816" w:type="dxa"/>
            <w:vMerge w:val="continue"/>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rPr>
            </w:pPr>
          </w:p>
        </w:tc>
        <w:tc>
          <w:tcPr>
            <w:tcW w:w="686" w:type="dxa"/>
            <w:vMerge w:val="continue"/>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rPr>
            </w:pPr>
          </w:p>
        </w:tc>
        <w:tc>
          <w:tcPr>
            <w:tcW w:w="795" w:type="dxa"/>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合计</w:t>
            </w:r>
          </w:p>
        </w:tc>
        <w:tc>
          <w:tcPr>
            <w:tcW w:w="945" w:type="dxa"/>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eastAsia="华文细黑"/>
                <w:color w:val="000000"/>
                <w:sz w:val="20"/>
                <w:szCs w:val="22"/>
                <w:lang w:eastAsia="zh-CN"/>
              </w:rPr>
              <w:t>一般公共预算拨款收入</w:t>
            </w:r>
          </w:p>
        </w:tc>
        <w:tc>
          <w:tcPr>
            <w:tcW w:w="690" w:type="dxa"/>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政府性基金预算拨款收入</w:t>
            </w:r>
          </w:p>
        </w:tc>
        <w:tc>
          <w:tcPr>
            <w:tcW w:w="946" w:type="dxa"/>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r>
              <w:rPr>
                <w:rFonts w:hint="eastAsia" w:ascii="华文细黑" w:hAnsi="华文细黑" w:eastAsia="华文细黑" w:cs="华文细黑"/>
                <w:kern w:val="0"/>
                <w:sz w:val="20"/>
                <w:szCs w:val="20"/>
                <w:vertAlign w:val="baseline"/>
                <w:lang w:eastAsia="zh-CN"/>
              </w:rPr>
              <w:t>国有资本经营预算拨款收入</w:t>
            </w:r>
          </w:p>
        </w:tc>
        <w:tc>
          <w:tcPr>
            <w:tcW w:w="1063" w:type="dxa"/>
            <w:vMerge w:val="continue"/>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p>
        </w:tc>
        <w:tc>
          <w:tcPr>
            <w:tcW w:w="1036" w:type="dxa"/>
            <w:vMerge w:val="continue"/>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p>
        </w:tc>
        <w:tc>
          <w:tcPr>
            <w:tcW w:w="803" w:type="dxa"/>
            <w:vMerge w:val="continue"/>
            <w:tcBorders>
              <w:top w:val="single" w:color="auto" w:sz="4" w:space="0"/>
            </w:tcBorders>
            <w:noWrap w:val="0"/>
            <w:vAlign w:val="center"/>
          </w:tcPr>
          <w:p>
            <w:pPr>
              <w:spacing w:line="240" w:lineRule="auto"/>
              <w:jc w:val="center"/>
              <w:rPr>
                <w:rFonts w:hint="eastAsia" w:ascii="华文细黑" w:hAnsi="华文细黑" w:eastAsia="华文细黑" w:cs="华文细黑"/>
                <w:kern w:val="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1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lang w:eastAsia="zh-CN"/>
              </w:rPr>
            </w:pPr>
          </w:p>
        </w:tc>
        <w:tc>
          <w:tcPr>
            <w:tcW w:w="68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79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690"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6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3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80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1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lang w:val="en-US" w:eastAsia="zh-CN"/>
              </w:rPr>
            </w:pPr>
          </w:p>
        </w:tc>
        <w:tc>
          <w:tcPr>
            <w:tcW w:w="68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79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690"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6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3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80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81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lang w:val="en-US" w:eastAsia="zh-CN"/>
              </w:rPr>
            </w:pPr>
          </w:p>
        </w:tc>
        <w:tc>
          <w:tcPr>
            <w:tcW w:w="68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79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690"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6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3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80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1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lang w:val="en-US" w:eastAsia="zh-CN"/>
              </w:rPr>
            </w:pPr>
          </w:p>
        </w:tc>
        <w:tc>
          <w:tcPr>
            <w:tcW w:w="68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79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5"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690"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94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6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1036"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c>
          <w:tcPr>
            <w:tcW w:w="803" w:type="dxa"/>
            <w:noWrap w:val="0"/>
            <w:vAlign w:val="center"/>
          </w:tcPr>
          <w:p>
            <w:pPr>
              <w:spacing w:line="240" w:lineRule="auto"/>
              <w:jc w:val="both"/>
              <w:rPr>
                <w:rFonts w:hint="eastAsia" w:ascii="华文细黑" w:hAnsi="华文细黑" w:eastAsia="华文细黑" w:cs="华文细黑"/>
                <w:kern w:val="0"/>
                <w:sz w:val="20"/>
                <w:szCs w:val="20"/>
                <w:highlight w:val="green"/>
                <w:vertAlign w:val="baseline"/>
              </w:rPr>
            </w:pPr>
          </w:p>
        </w:tc>
      </w:tr>
    </w:tbl>
    <w:p>
      <w:pPr>
        <w:ind w:firstLine="640" w:firstLineChars="200"/>
        <w:rPr>
          <w:rFonts w:hint="default" w:ascii="Times New Roman" w:hAnsi="Times New Roman" w:cs="Times New Roman"/>
        </w:rPr>
      </w:pPr>
    </w:p>
    <w:p>
      <w:pPr>
        <w:ind w:firstLine="640"/>
        <w:rPr>
          <w:rFonts w:hint="default" w:ascii="Times New Roman" w:hAnsi="Times New Roman" w:cs="Times New Roman"/>
          <w:szCs w:val="32"/>
        </w:rPr>
      </w:pPr>
    </w:p>
    <w:p>
      <w:pPr>
        <w:ind w:firstLine="640"/>
        <w:rPr>
          <w:rFonts w:hint="default" w:ascii="Times New Roman" w:hAnsi="Times New Roman" w:cs="Times New Roman"/>
          <w:szCs w:val="32"/>
        </w:rPr>
      </w:pPr>
    </w:p>
    <w:p>
      <w:pPr>
        <w:rPr>
          <w:rFonts w:hint="default" w:ascii="Times New Roman" w:hAnsi="Times New Roman" w:cs="Times New Roman"/>
          <w:szCs w:val="32"/>
        </w:rPr>
      </w:pPr>
    </w:p>
    <w:p>
      <w:pPr>
        <w:spacing w:line="700" w:lineRule="exact"/>
        <w:rPr>
          <w:rFonts w:hint="default" w:ascii="Times New Roman" w:hAnsi="Times New Roman" w:cs="Times New Roman"/>
          <w:kern w:val="0"/>
          <w:szCs w:val="32"/>
        </w:rPr>
      </w:pPr>
    </w:p>
    <w:sectPr>
      <w:pgSz w:w="11907" w:h="16840"/>
      <w:pgMar w:top="2041" w:right="1588" w:bottom="2041" w:left="1588" w:header="851" w:footer="1588" w:gutter="0"/>
      <w:pgNumType w:start="0"/>
      <w:cols w:space="720" w:num="1"/>
      <w:titlePg/>
      <w:docGrid w:type="line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 w:firstLine="8120" w:firstLineChars="2900"/>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A1281"/>
    <w:multiLevelType w:val="singleLevel"/>
    <w:tmpl w:val="601A1281"/>
    <w:lvl w:ilvl="0" w:tentative="0">
      <w:start w:val="4"/>
      <w:numFmt w:val="chineseCounting"/>
      <w:suff w:val="nothing"/>
      <w:lvlText w:val="（%1）"/>
      <w:lvlJc w:val="left"/>
    </w:lvl>
  </w:abstractNum>
  <w:abstractNum w:abstractNumId="1">
    <w:nsid w:val="65D2FDD6"/>
    <w:multiLevelType w:val="singleLevel"/>
    <w:tmpl w:val="65D2FDD6"/>
    <w:lvl w:ilvl="0" w:tentative="0">
      <w:start w:val="2"/>
      <w:numFmt w:val="chineseCounting"/>
      <w:suff w:val="nothing"/>
      <w:lvlText w:val="%1、"/>
      <w:lvlJc w:val="left"/>
    </w:lvl>
  </w:abstractNum>
  <w:abstractNum w:abstractNumId="2">
    <w:nsid w:val="65D857F7"/>
    <w:multiLevelType w:val="singleLevel"/>
    <w:tmpl w:val="65D857F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6"/>
  <w:drawingGridVerticalSpacing w:val="28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74ED2"/>
    <w:rsid w:val="000C6D48"/>
    <w:rsid w:val="000D7FB8"/>
    <w:rsid w:val="00102492"/>
    <w:rsid w:val="00145456"/>
    <w:rsid w:val="002300BA"/>
    <w:rsid w:val="00292A39"/>
    <w:rsid w:val="002A5441"/>
    <w:rsid w:val="002E7CD8"/>
    <w:rsid w:val="00367BC1"/>
    <w:rsid w:val="00396D8D"/>
    <w:rsid w:val="00426F96"/>
    <w:rsid w:val="00487479"/>
    <w:rsid w:val="00514321"/>
    <w:rsid w:val="00584D1B"/>
    <w:rsid w:val="00586A56"/>
    <w:rsid w:val="005D5B16"/>
    <w:rsid w:val="005F314F"/>
    <w:rsid w:val="00623896"/>
    <w:rsid w:val="006358AE"/>
    <w:rsid w:val="006B3914"/>
    <w:rsid w:val="007638E0"/>
    <w:rsid w:val="00812796"/>
    <w:rsid w:val="00825722"/>
    <w:rsid w:val="00841DA8"/>
    <w:rsid w:val="00851A6F"/>
    <w:rsid w:val="008667D5"/>
    <w:rsid w:val="00870789"/>
    <w:rsid w:val="00876AFD"/>
    <w:rsid w:val="00896C22"/>
    <w:rsid w:val="008C034B"/>
    <w:rsid w:val="0091631A"/>
    <w:rsid w:val="00932BEF"/>
    <w:rsid w:val="00983A8D"/>
    <w:rsid w:val="009B2F41"/>
    <w:rsid w:val="009E093A"/>
    <w:rsid w:val="00A34894"/>
    <w:rsid w:val="00A73E5D"/>
    <w:rsid w:val="00A85D44"/>
    <w:rsid w:val="00A96058"/>
    <w:rsid w:val="00AD4E96"/>
    <w:rsid w:val="00B05DD3"/>
    <w:rsid w:val="00B60748"/>
    <w:rsid w:val="00B62F90"/>
    <w:rsid w:val="00B668F4"/>
    <w:rsid w:val="00BA7D5D"/>
    <w:rsid w:val="00BB6FD3"/>
    <w:rsid w:val="00BE1CDD"/>
    <w:rsid w:val="00C36C22"/>
    <w:rsid w:val="00C55740"/>
    <w:rsid w:val="00CA1FFF"/>
    <w:rsid w:val="00CC6E11"/>
    <w:rsid w:val="00CC7209"/>
    <w:rsid w:val="00D33284"/>
    <w:rsid w:val="00D44841"/>
    <w:rsid w:val="00D55467"/>
    <w:rsid w:val="00D71247"/>
    <w:rsid w:val="00DF0F79"/>
    <w:rsid w:val="00E00855"/>
    <w:rsid w:val="00E22C47"/>
    <w:rsid w:val="00E46D34"/>
    <w:rsid w:val="00E56F79"/>
    <w:rsid w:val="00E67450"/>
    <w:rsid w:val="00E82D48"/>
    <w:rsid w:val="00EC73B7"/>
    <w:rsid w:val="00EE1F67"/>
    <w:rsid w:val="00F47B19"/>
    <w:rsid w:val="00F7193F"/>
    <w:rsid w:val="00F8523B"/>
    <w:rsid w:val="00FF7928"/>
    <w:rsid w:val="01351509"/>
    <w:rsid w:val="019B69D8"/>
    <w:rsid w:val="020E6D2C"/>
    <w:rsid w:val="031D7D4B"/>
    <w:rsid w:val="03C6187E"/>
    <w:rsid w:val="0486486A"/>
    <w:rsid w:val="04954460"/>
    <w:rsid w:val="050D06DA"/>
    <w:rsid w:val="05513E94"/>
    <w:rsid w:val="056F5A6D"/>
    <w:rsid w:val="059B3770"/>
    <w:rsid w:val="063949A0"/>
    <w:rsid w:val="06BD5BC7"/>
    <w:rsid w:val="07BF185F"/>
    <w:rsid w:val="088C4D2F"/>
    <w:rsid w:val="08F34600"/>
    <w:rsid w:val="09A0082A"/>
    <w:rsid w:val="0A00734E"/>
    <w:rsid w:val="0ABA06FE"/>
    <w:rsid w:val="0B5F5ADA"/>
    <w:rsid w:val="0C2A5C84"/>
    <w:rsid w:val="0DA001B0"/>
    <w:rsid w:val="0DEB170B"/>
    <w:rsid w:val="0E4C7841"/>
    <w:rsid w:val="0E902C87"/>
    <w:rsid w:val="0F3E0406"/>
    <w:rsid w:val="0FD62F63"/>
    <w:rsid w:val="10AE7F82"/>
    <w:rsid w:val="10C93B35"/>
    <w:rsid w:val="11177619"/>
    <w:rsid w:val="112605C8"/>
    <w:rsid w:val="12E711B7"/>
    <w:rsid w:val="133E16DB"/>
    <w:rsid w:val="136770E0"/>
    <w:rsid w:val="136D62BD"/>
    <w:rsid w:val="13F21722"/>
    <w:rsid w:val="1441443C"/>
    <w:rsid w:val="14C12787"/>
    <w:rsid w:val="14D83732"/>
    <w:rsid w:val="15593E10"/>
    <w:rsid w:val="159F7E25"/>
    <w:rsid w:val="15F848D0"/>
    <w:rsid w:val="160E1FA5"/>
    <w:rsid w:val="160F2600"/>
    <w:rsid w:val="169E540F"/>
    <w:rsid w:val="17765BCA"/>
    <w:rsid w:val="17A027D8"/>
    <w:rsid w:val="19A768C1"/>
    <w:rsid w:val="1A817DF8"/>
    <w:rsid w:val="1A9A3AB8"/>
    <w:rsid w:val="1ADC594E"/>
    <w:rsid w:val="1AEB5252"/>
    <w:rsid w:val="1C852172"/>
    <w:rsid w:val="1CA40C0C"/>
    <w:rsid w:val="1CFF4A32"/>
    <w:rsid w:val="1D833200"/>
    <w:rsid w:val="1DEB26D6"/>
    <w:rsid w:val="1E3A3FD0"/>
    <w:rsid w:val="1E525AC1"/>
    <w:rsid w:val="1EB55C07"/>
    <w:rsid w:val="1EF50AA5"/>
    <w:rsid w:val="1F351A10"/>
    <w:rsid w:val="1FED47E9"/>
    <w:rsid w:val="206816AC"/>
    <w:rsid w:val="22A4003E"/>
    <w:rsid w:val="23EC61F6"/>
    <w:rsid w:val="244C543C"/>
    <w:rsid w:val="24624768"/>
    <w:rsid w:val="24BB4859"/>
    <w:rsid w:val="259B5BC5"/>
    <w:rsid w:val="25F62C4E"/>
    <w:rsid w:val="26643D6C"/>
    <w:rsid w:val="26FE109D"/>
    <w:rsid w:val="27073E1E"/>
    <w:rsid w:val="27B04AB3"/>
    <w:rsid w:val="280A48D4"/>
    <w:rsid w:val="28117C88"/>
    <w:rsid w:val="28A63332"/>
    <w:rsid w:val="29C45F24"/>
    <w:rsid w:val="29D17AC4"/>
    <w:rsid w:val="2AE84151"/>
    <w:rsid w:val="2BFE4C48"/>
    <w:rsid w:val="2D5150B4"/>
    <w:rsid w:val="2DF8796C"/>
    <w:rsid w:val="2EB22F18"/>
    <w:rsid w:val="2EE12108"/>
    <w:rsid w:val="2EED35E3"/>
    <w:rsid w:val="2F250383"/>
    <w:rsid w:val="2F63610B"/>
    <w:rsid w:val="300965A3"/>
    <w:rsid w:val="30730D6E"/>
    <w:rsid w:val="30B91A70"/>
    <w:rsid w:val="31371599"/>
    <w:rsid w:val="32CF2C5D"/>
    <w:rsid w:val="335402B5"/>
    <w:rsid w:val="339466B2"/>
    <w:rsid w:val="34555AF5"/>
    <w:rsid w:val="34EE42D7"/>
    <w:rsid w:val="35616772"/>
    <w:rsid w:val="35EA1663"/>
    <w:rsid w:val="35EA332B"/>
    <w:rsid w:val="364C598E"/>
    <w:rsid w:val="36CC2B0F"/>
    <w:rsid w:val="377B197E"/>
    <w:rsid w:val="3838492F"/>
    <w:rsid w:val="3887374F"/>
    <w:rsid w:val="39041A07"/>
    <w:rsid w:val="39043B77"/>
    <w:rsid w:val="393D18E1"/>
    <w:rsid w:val="39670895"/>
    <w:rsid w:val="3A657F9A"/>
    <w:rsid w:val="3A9113D4"/>
    <w:rsid w:val="3AC54F32"/>
    <w:rsid w:val="3B144A0A"/>
    <w:rsid w:val="3BC92948"/>
    <w:rsid w:val="3BE370D4"/>
    <w:rsid w:val="3C29381E"/>
    <w:rsid w:val="3C711E1D"/>
    <w:rsid w:val="3C7F463D"/>
    <w:rsid w:val="3CAE3960"/>
    <w:rsid w:val="3D365BF6"/>
    <w:rsid w:val="3DE638F5"/>
    <w:rsid w:val="3DF23324"/>
    <w:rsid w:val="3EA14040"/>
    <w:rsid w:val="3EA45BBD"/>
    <w:rsid w:val="3EE8108D"/>
    <w:rsid w:val="3FAD0706"/>
    <w:rsid w:val="40B80EFF"/>
    <w:rsid w:val="41A35364"/>
    <w:rsid w:val="41C31686"/>
    <w:rsid w:val="42982B4E"/>
    <w:rsid w:val="436B1E42"/>
    <w:rsid w:val="43FA3ABE"/>
    <w:rsid w:val="450107FA"/>
    <w:rsid w:val="456D114B"/>
    <w:rsid w:val="45EB670F"/>
    <w:rsid w:val="46AB7C0D"/>
    <w:rsid w:val="46D44808"/>
    <w:rsid w:val="47CF49E6"/>
    <w:rsid w:val="48674ED2"/>
    <w:rsid w:val="487708E6"/>
    <w:rsid w:val="49645F71"/>
    <w:rsid w:val="499F5C68"/>
    <w:rsid w:val="4AF16062"/>
    <w:rsid w:val="4B646DDD"/>
    <w:rsid w:val="4B7F44F8"/>
    <w:rsid w:val="4BAC24C5"/>
    <w:rsid w:val="4BFA0656"/>
    <w:rsid w:val="4C482C4F"/>
    <w:rsid w:val="4D730507"/>
    <w:rsid w:val="4D741DD3"/>
    <w:rsid w:val="4DC93207"/>
    <w:rsid w:val="4E8D5761"/>
    <w:rsid w:val="4EF54A85"/>
    <w:rsid w:val="501B3C66"/>
    <w:rsid w:val="504B40C5"/>
    <w:rsid w:val="50987DC2"/>
    <w:rsid w:val="50A4703E"/>
    <w:rsid w:val="5136104F"/>
    <w:rsid w:val="52071113"/>
    <w:rsid w:val="525A440D"/>
    <w:rsid w:val="53F95324"/>
    <w:rsid w:val="54741940"/>
    <w:rsid w:val="54810E66"/>
    <w:rsid w:val="54A609CD"/>
    <w:rsid w:val="54C2556E"/>
    <w:rsid w:val="55480EEF"/>
    <w:rsid w:val="555F43D6"/>
    <w:rsid w:val="57AE5C26"/>
    <w:rsid w:val="57DD75A9"/>
    <w:rsid w:val="58256ABD"/>
    <w:rsid w:val="59472AC7"/>
    <w:rsid w:val="5AB343F7"/>
    <w:rsid w:val="5ABF50F2"/>
    <w:rsid w:val="5AF76904"/>
    <w:rsid w:val="5B052E7A"/>
    <w:rsid w:val="5B3D7F7E"/>
    <w:rsid w:val="5B7C7777"/>
    <w:rsid w:val="5BEC6771"/>
    <w:rsid w:val="5CA506B9"/>
    <w:rsid w:val="5D5A7C63"/>
    <w:rsid w:val="5E256F6F"/>
    <w:rsid w:val="5F6012F5"/>
    <w:rsid w:val="5F6235A9"/>
    <w:rsid w:val="614125C2"/>
    <w:rsid w:val="624C5C52"/>
    <w:rsid w:val="634F4EBC"/>
    <w:rsid w:val="63DF08E4"/>
    <w:rsid w:val="64C04AFD"/>
    <w:rsid w:val="661A7B69"/>
    <w:rsid w:val="664909C1"/>
    <w:rsid w:val="66C63EB5"/>
    <w:rsid w:val="679461D3"/>
    <w:rsid w:val="6858287E"/>
    <w:rsid w:val="69157114"/>
    <w:rsid w:val="691A443E"/>
    <w:rsid w:val="6A4D78D7"/>
    <w:rsid w:val="6A80735F"/>
    <w:rsid w:val="6ACC5E47"/>
    <w:rsid w:val="6AD43ED1"/>
    <w:rsid w:val="6B11024D"/>
    <w:rsid w:val="6B7D5B36"/>
    <w:rsid w:val="6CC3309F"/>
    <w:rsid w:val="6CF120A8"/>
    <w:rsid w:val="6E5C46E3"/>
    <w:rsid w:val="6E6F66E0"/>
    <w:rsid w:val="714213DD"/>
    <w:rsid w:val="717F272E"/>
    <w:rsid w:val="728027C6"/>
    <w:rsid w:val="73C61586"/>
    <w:rsid w:val="73FE7ACC"/>
    <w:rsid w:val="74556746"/>
    <w:rsid w:val="76537119"/>
    <w:rsid w:val="76C17E06"/>
    <w:rsid w:val="76CA67BD"/>
    <w:rsid w:val="774E6400"/>
    <w:rsid w:val="775B0046"/>
    <w:rsid w:val="79700BEF"/>
    <w:rsid w:val="799B6CF5"/>
    <w:rsid w:val="7A090695"/>
    <w:rsid w:val="7AE175F4"/>
    <w:rsid w:val="7B1C7B3E"/>
    <w:rsid w:val="7B417685"/>
    <w:rsid w:val="7B5220F0"/>
    <w:rsid w:val="7BA169C0"/>
    <w:rsid w:val="7BAD2AD1"/>
    <w:rsid w:val="7CAD595B"/>
    <w:rsid w:val="7CF65D07"/>
    <w:rsid w:val="7D2975D1"/>
    <w:rsid w:val="7DCC0C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Body Text Indent"/>
    <w:basedOn w:val="1"/>
    <w:uiPriority w:val="0"/>
    <w:pPr>
      <w:tabs>
        <w:tab w:val="left" w:pos="8372"/>
      </w:tabs>
      <w:spacing w:line="540" w:lineRule="exact"/>
      <w:ind w:firstLine="630"/>
    </w:pPr>
    <w:rPr>
      <w:rFonts w:eastAsia="黑体"/>
    </w:rPr>
  </w:style>
  <w:style w:type="paragraph" w:styleId="3">
    <w:name w:val="Date"/>
    <w:basedOn w:val="1"/>
    <w:next w:val="1"/>
    <w:uiPriority w:val="0"/>
  </w:style>
  <w:style w:type="paragraph" w:styleId="4">
    <w:name w:val="Body Text Indent 2"/>
    <w:basedOn w:val="1"/>
    <w:uiPriority w:val="0"/>
    <w:pPr>
      <w:tabs>
        <w:tab w:val="left" w:pos="8372"/>
      </w:tabs>
      <w:spacing w:line="540" w:lineRule="exact"/>
      <w:ind w:firstLine="630"/>
    </w:pPr>
    <w:rPr>
      <w:b/>
      <w:bCs/>
    </w:rPr>
  </w:style>
  <w:style w:type="paragraph" w:styleId="5">
    <w:name w:val="Balloon Text"/>
    <w:basedOn w:val="1"/>
    <w:link w:val="20"/>
    <w:uiPriority w:val="0"/>
    <w:rPr>
      <w:sz w:val="18"/>
      <w:szCs w:val="18"/>
    </w:rPr>
  </w:style>
  <w:style w:type="paragraph" w:styleId="6">
    <w:name w:val="footer"/>
    <w:basedOn w:val="1"/>
    <w:link w:val="13"/>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table" w:styleId="10">
    <w:name w:val="Table Grid"/>
    <w:basedOn w:val="9"/>
    <w:uiPriority w:val="59"/>
    <w:rPr>
      <w:rFonts w:ascii="Calibri" w:hAnsi="Calibri" w:eastAsia="宋体" w:cs="Times New Roman"/>
      <w:kern w:val="2"/>
      <w:sz w:val="21"/>
      <w:szCs w:val="22"/>
    </w:r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customStyle="1" w:styleId="13">
    <w:name w:val="页脚 Char"/>
    <w:link w:val="6"/>
    <w:uiPriority w:val="0"/>
    <w:rPr>
      <w:rFonts w:eastAsia="仿宋_GB2312"/>
      <w:kern w:val="2"/>
      <w:sz w:val="18"/>
    </w:rPr>
  </w:style>
  <w:style w:type="character" w:customStyle="1" w:styleId="14">
    <w:name w:val="font41"/>
    <w:uiPriority w:val="0"/>
    <w:rPr>
      <w:rFonts w:hint="default" w:ascii="华文细黑" w:hAnsi="华文细黑" w:eastAsia="华文细黑" w:cs="华文细黑"/>
      <w:color w:val="000000"/>
      <w:sz w:val="20"/>
      <w:szCs w:val="20"/>
      <w:u w:val="none"/>
    </w:rPr>
  </w:style>
  <w:style w:type="character" w:customStyle="1" w:styleId="15">
    <w:name w:val="font11"/>
    <w:uiPriority w:val="0"/>
    <w:rPr>
      <w:rFonts w:hint="default" w:ascii="Arial" w:hAnsi="Arial" w:cs="Arial"/>
      <w:color w:val="000000"/>
      <w:sz w:val="24"/>
      <w:szCs w:val="24"/>
      <w:u w:val="none"/>
    </w:rPr>
  </w:style>
  <w:style w:type="character" w:customStyle="1" w:styleId="16">
    <w:name w:val="font21"/>
    <w:uiPriority w:val="0"/>
    <w:rPr>
      <w:rFonts w:hint="default" w:ascii="Arial" w:hAnsi="Arial" w:cs="Arial"/>
      <w:color w:val="000000"/>
      <w:sz w:val="20"/>
      <w:szCs w:val="20"/>
      <w:u w:val="none"/>
    </w:rPr>
  </w:style>
  <w:style w:type="character" w:customStyle="1" w:styleId="17">
    <w:name w:val="font51"/>
    <w:basedOn w:val="11"/>
    <w:uiPriority w:val="0"/>
    <w:rPr>
      <w:rFonts w:hint="eastAsia" w:ascii="黑体" w:hAnsi="宋体" w:eastAsia="黑体" w:cs="黑体"/>
      <w:color w:val="000000"/>
      <w:sz w:val="32"/>
      <w:szCs w:val="32"/>
      <w:u w:val="none"/>
    </w:rPr>
  </w:style>
  <w:style w:type="character" w:customStyle="1" w:styleId="18">
    <w:name w:val="font31"/>
    <w:basedOn w:val="11"/>
    <w:uiPriority w:val="0"/>
    <w:rPr>
      <w:rFonts w:hint="eastAsia" w:ascii="宋体" w:hAnsi="宋体" w:eastAsia="宋体" w:cs="宋体"/>
      <w:color w:val="000000"/>
      <w:sz w:val="20"/>
      <w:szCs w:val="20"/>
      <w:u w:val="none"/>
    </w:rPr>
  </w:style>
  <w:style w:type="character" w:customStyle="1" w:styleId="19">
    <w:name w:val="font61"/>
    <w:uiPriority w:val="0"/>
    <w:rPr>
      <w:rFonts w:hint="eastAsia" w:ascii="宋体" w:hAnsi="宋体" w:eastAsia="宋体" w:cs="宋体"/>
      <w:color w:val="000000"/>
      <w:sz w:val="24"/>
      <w:szCs w:val="24"/>
      <w:u w:val="none"/>
    </w:rPr>
  </w:style>
  <w:style w:type="character" w:customStyle="1" w:styleId="20">
    <w:name w:val="批注框文本 Char"/>
    <w:link w:val="5"/>
    <w:uiPriority w:val="0"/>
    <w:rPr>
      <w:rFonts w:eastAsia="仿宋_GB2312"/>
      <w:kern w:val="2"/>
      <w:sz w:val="18"/>
      <w:szCs w:val="18"/>
    </w:rPr>
  </w:style>
  <w:style w:type="character" w:customStyle="1" w:styleId="21">
    <w:name w:val="font01"/>
    <w:uiPriority w:val="0"/>
    <w:rPr>
      <w:rFonts w:hint="default" w:ascii="Times New Roman" w:hAnsi="Times New Roman" w:cs="Times New Roman"/>
      <w:color w:val="000000"/>
      <w:sz w:val="24"/>
      <w:szCs w:val="24"/>
      <w:u w:val="none"/>
    </w:rPr>
  </w:style>
  <w:style w:type="paragraph" w:customStyle="1" w:styleId="22">
    <w:name w:val="页眉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3">
    <w:name w:val="页眉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4">
    <w:name w:val="页脚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25">
    <w:name w:val="页眉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6">
    <w:name w:val="页脚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27">
    <w:name w:val="页脚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28">
    <w:name w:val="页眉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9">
    <w:name w:val="页脚 New New New New New New"/>
    <w:basedOn w:val="1"/>
    <w:uiPriority w:val="0"/>
    <w:pPr>
      <w:tabs>
        <w:tab w:val="center" w:pos="4153"/>
        <w:tab w:val="right" w:pos="8306"/>
      </w:tabs>
      <w:snapToGrid w:val="0"/>
      <w:jc w:val="left"/>
    </w:pPr>
    <w:rPr>
      <w:rFonts w:eastAsia="仿宋_GB2312"/>
      <w:kern w:val="2"/>
      <w:sz w:val="18"/>
    </w:rPr>
  </w:style>
  <w:style w:type="paragraph" w:customStyle="1" w:styleId="30">
    <w:name w:val="页眉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1">
    <w:name w:val="页脚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32">
    <w:name w:val="页脚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33">
    <w:name w:val="页眉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4">
    <w:name w:val="页脚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35">
    <w:name w:val="页脚 New New New"/>
    <w:basedOn w:val="1"/>
    <w:uiPriority w:val="0"/>
    <w:pPr>
      <w:tabs>
        <w:tab w:val="center" w:pos="4153"/>
        <w:tab w:val="right" w:pos="8306"/>
      </w:tabs>
      <w:snapToGrid w:val="0"/>
      <w:jc w:val="left"/>
    </w:pPr>
    <w:rPr>
      <w:rFonts w:eastAsia="仿宋_GB2312"/>
      <w:kern w:val="2"/>
      <w:sz w:val="18"/>
    </w:rPr>
  </w:style>
  <w:style w:type="paragraph" w:customStyle="1" w:styleId="36">
    <w:name w:val="页眉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7">
    <w:name w:val="页脚 New New New New New New New"/>
    <w:basedOn w:val="1"/>
    <w:uiPriority w:val="0"/>
    <w:pPr>
      <w:tabs>
        <w:tab w:val="center" w:pos="4153"/>
        <w:tab w:val="right" w:pos="8306"/>
      </w:tabs>
      <w:snapToGrid w:val="0"/>
      <w:jc w:val="left"/>
    </w:pPr>
    <w:rPr>
      <w:rFonts w:eastAsia="仿宋_GB2312"/>
      <w:kern w:val="2"/>
      <w:sz w:val="18"/>
    </w:rPr>
  </w:style>
  <w:style w:type="paragraph" w:customStyle="1" w:styleId="38">
    <w:name w:val="页眉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9">
    <w:name w:val="页眉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0">
    <w:name w:val="页脚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41">
    <w:name w:val="页脚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42">
    <w:name w:val="页眉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3">
    <w:name w:val="页脚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44">
    <w:name w:val="页眉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5">
    <w:name w:val="页脚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46">
    <w:name w:val="页脚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47">
    <w:name w:val="页眉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8">
    <w:name w:val="页脚 New New New New New"/>
    <w:basedOn w:val="1"/>
    <w:uiPriority w:val="0"/>
    <w:pPr>
      <w:tabs>
        <w:tab w:val="center" w:pos="4153"/>
        <w:tab w:val="right" w:pos="8306"/>
      </w:tabs>
      <w:snapToGrid w:val="0"/>
      <w:jc w:val="left"/>
    </w:pPr>
    <w:rPr>
      <w:rFonts w:eastAsia="仿宋_GB2312"/>
      <w:kern w:val="2"/>
      <w:sz w:val="18"/>
    </w:rPr>
  </w:style>
  <w:style w:type="paragraph" w:customStyle="1" w:styleId="49">
    <w:name w:val="页脚 New New"/>
    <w:basedOn w:val="1"/>
    <w:uiPriority w:val="0"/>
    <w:pPr>
      <w:tabs>
        <w:tab w:val="center" w:pos="4153"/>
        <w:tab w:val="right" w:pos="8306"/>
      </w:tabs>
      <w:snapToGrid w:val="0"/>
      <w:jc w:val="left"/>
    </w:pPr>
    <w:rPr>
      <w:rFonts w:eastAsia="仿宋_GB2312"/>
      <w:kern w:val="2"/>
      <w:sz w:val="18"/>
    </w:rPr>
  </w:style>
  <w:style w:type="paragraph" w:customStyle="1" w:styleId="50">
    <w:name w:val="页脚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51">
    <w:name w:val="页脚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52">
    <w:name w:val="页脚 New New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53">
    <w:name w:val="页脚 New"/>
    <w:basedOn w:val="1"/>
    <w:uiPriority w:val="0"/>
    <w:pPr>
      <w:tabs>
        <w:tab w:val="center" w:pos="4153"/>
        <w:tab w:val="right" w:pos="8306"/>
      </w:tabs>
      <w:snapToGrid w:val="0"/>
      <w:jc w:val="left"/>
    </w:pPr>
    <w:rPr>
      <w:rFonts w:eastAsia="仿宋_GB2312"/>
      <w:kern w:val="2"/>
      <w:sz w:val="18"/>
    </w:rPr>
  </w:style>
  <w:style w:type="paragraph" w:customStyle="1" w:styleId="54">
    <w:name w:val="页脚 New New New New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55">
    <w:name w:val="页眉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6">
    <w:name w:val="页眉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7">
    <w:name w:val="页眉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8">
    <w:name w:val="页脚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59">
    <w:name w:val="页脚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0">
    <w:name w:val="页脚 New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1">
    <w:name w:val="页眉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2">
    <w:name w:val="页脚 New New New New"/>
    <w:basedOn w:val="1"/>
    <w:uiPriority w:val="0"/>
    <w:pPr>
      <w:tabs>
        <w:tab w:val="center" w:pos="4153"/>
        <w:tab w:val="right" w:pos="8306"/>
      </w:tabs>
      <w:snapToGrid w:val="0"/>
      <w:jc w:val="left"/>
    </w:pPr>
    <w:rPr>
      <w:rFonts w:eastAsia="仿宋_GB2312"/>
      <w:kern w:val="2"/>
      <w:sz w:val="18"/>
    </w:rPr>
  </w:style>
  <w:style w:type="paragraph" w:customStyle="1" w:styleId="63">
    <w:name w:val="页眉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4">
    <w:name w:val="页脚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5">
    <w:name w:val="页脚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6">
    <w:name w:val="页眉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7">
    <w:name w:val="页脚 New New New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8">
    <w:name w:val="页脚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69">
    <w:name w:val="正文文本 21"/>
    <w:basedOn w:val="1"/>
    <w:uiPriority w:val="0"/>
    <w:pPr>
      <w:adjustRightInd w:val="0"/>
      <w:ind w:firstLine="630"/>
      <w:jc w:val="left"/>
      <w:textAlignment w:val="baseline"/>
    </w:pPr>
    <w:rPr>
      <w:rFonts w:eastAsia="黑体"/>
    </w:rPr>
  </w:style>
  <w:style w:type="paragraph" w:customStyle="1" w:styleId="70">
    <w:name w:val="页眉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1">
    <w:name w:val="页眉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2">
    <w:name w:val="页眉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3">
    <w:name w:val="页眉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4">
    <w:name w:val="Char"/>
    <w:basedOn w:val="1"/>
    <w:uiPriority w:val="0"/>
    <w:rPr>
      <w:rFonts w:eastAsia="宋体"/>
      <w:sz w:val="21"/>
      <w:szCs w:val="21"/>
    </w:rPr>
  </w:style>
  <w:style w:type="paragraph" w:customStyle="1" w:styleId="75">
    <w:name w:val="页眉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6">
    <w:name w:val="页眉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7">
    <w:name w:val="页眉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8">
    <w:name w:val="页脚 New New New New New New New New New New New New New New New New New New New New New New New New New New New New New New"/>
    <w:basedOn w:val="1"/>
    <w:uiPriority w:val="0"/>
    <w:pPr>
      <w:tabs>
        <w:tab w:val="center" w:pos="4153"/>
        <w:tab w:val="right" w:pos="8306"/>
      </w:tabs>
      <w:snapToGrid w:val="0"/>
      <w:jc w:val="left"/>
    </w:pPr>
    <w:rPr>
      <w:rFonts w:eastAsia="仿宋_GB2312"/>
      <w:kern w:val="2"/>
      <w:sz w:val="18"/>
    </w:rPr>
  </w:style>
  <w:style w:type="paragraph" w:customStyle="1" w:styleId="79">
    <w:name w:val="页眉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0">
    <w:name w:val="页眉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1">
    <w:name w:val="页眉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2">
    <w:name w:val="p0"/>
    <w:basedOn w:val="1"/>
    <w:uiPriority w:val="0"/>
    <w:pPr>
      <w:widowControl/>
    </w:pPr>
    <w:rPr>
      <w:rFonts w:eastAsia="宋体"/>
      <w:kern w:val="0"/>
      <w:szCs w:val="32"/>
    </w:rPr>
  </w:style>
  <w:style w:type="paragraph" w:customStyle="1" w:styleId="83">
    <w:name w:val="页眉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4">
    <w:name w:val="页眉 New New New New New New New New"/>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附件1 2020年部门预算信息公开模板</Template>
  <Pages>29</Pages>
  <Words>1556</Words>
  <Characters>8871</Characters>
  <Lines>73</Lines>
  <Paragraphs>20</Paragraphs>
  <TotalTime>6</TotalTime>
  <ScaleCrop>false</ScaleCrop>
  <LinksUpToDate>false</LinksUpToDate>
  <CharactersWithSpaces>10407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2022-12-13T06:34:00Z</dcterms:created>
  <dc:creator>Administrator</dc:creator>
  <cp:lastModifiedBy>lenovo</cp:lastModifiedBy>
  <cp:lastPrinted>2022-02-21T08:08:00Z</cp:lastPrinted>
  <dcterms:modified xsi:type="dcterms:W3CDTF">2024-03-06T01:18:46Z</dcterms:modified>
  <dc:title>主  持  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E6E29BDE66164A809BB995271F6BF948_13</vt:lpwstr>
  </property>
</Properties>
</file>